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eastAsia="宋体"/>
          <w:color w:val="000000"/>
          <w:sz w:val="36"/>
          <w:szCs w:val="36"/>
          <w:highlight w:val="none"/>
          <w:lang w:val="en-US" w:eastAsia="zh-CN"/>
        </w:rPr>
      </w:pPr>
      <w:r>
        <w:rPr>
          <w:rFonts w:hint="eastAsia" w:ascii="宋体" w:hAnsi="宋体" w:eastAsia="宋体" w:cs="宋体"/>
          <w:b/>
          <w:bCs/>
          <w:color w:val="000000"/>
          <w:kern w:val="32"/>
          <w:sz w:val="36"/>
          <w:szCs w:val="36"/>
          <w:highlight w:val="none"/>
          <w:lang w:val="en-US" w:eastAsia="zh-CN"/>
        </w:rPr>
        <w:t>火炬园H座首层鲜康达餐厅及D座二楼东中干国际租赁场地电力线路增容安装工程项目</w:t>
      </w:r>
      <w:r>
        <w:rPr>
          <w:rFonts w:hint="eastAsia" w:ascii="宋体" w:hAnsi="宋体" w:cs="宋体"/>
          <w:b/>
          <w:bCs/>
          <w:color w:val="000000"/>
          <w:kern w:val="32"/>
          <w:sz w:val="36"/>
          <w:szCs w:val="36"/>
          <w:highlight w:val="none"/>
          <w:lang w:val="en-US" w:eastAsia="zh-CN"/>
        </w:rPr>
        <w:t>邀请招标公告</w:t>
      </w:r>
    </w:p>
    <w:p>
      <w:pPr>
        <w:pStyle w:val="7"/>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highlight w:val="none"/>
        </w:rPr>
      </w:pPr>
      <w:bookmarkStart w:id="0" w:name="_Toc437960961"/>
      <w:bookmarkStart w:id="1" w:name="_Toc13079"/>
      <w:bookmarkStart w:id="2" w:name="_Toc4366"/>
      <w:bookmarkStart w:id="3" w:name="_Toc80890992"/>
      <w:bookmarkStart w:id="4" w:name="_Toc23670"/>
      <w:r>
        <w:rPr>
          <w:rFonts w:hint="eastAsia" w:ascii="宋体" w:hAnsi="宋体" w:eastAsia="宋体" w:cs="宋体"/>
          <w:color w:val="000000"/>
          <w:sz w:val="28"/>
          <w:szCs w:val="28"/>
          <w:highlight w:val="none"/>
        </w:rPr>
        <w:t>1.招标条件</w:t>
      </w:r>
      <w:bookmarkEnd w:id="0"/>
      <w:bookmarkEnd w:id="1"/>
      <w:bookmarkEnd w:id="2"/>
      <w:bookmarkEnd w:id="3"/>
      <w:bookmarkEnd w:id="4"/>
      <w:bookmarkStart w:id="38" w:name="_GoBack"/>
      <w:bookmarkEnd w:id="38"/>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_GB2312"/>
          <w:b/>
          <w:bCs/>
          <w:color w:val="000000"/>
          <w:sz w:val="24"/>
          <w:szCs w:val="24"/>
          <w:highlight w:val="none"/>
        </w:rPr>
      </w:pPr>
      <w:r>
        <w:rPr>
          <w:rFonts w:hint="eastAsia" w:ascii="宋体" w:hAnsi="宋体" w:eastAsia="宋体" w:cs="宋体"/>
          <w:sz w:val="24"/>
          <w:szCs w:val="24"/>
          <w:highlight w:val="none"/>
          <w:u w:val="single"/>
          <w:lang w:val="en-US" w:eastAsia="zh-CN"/>
        </w:rPr>
        <w:t>火炬园H座首层鲜康达餐厅及D座二楼东中干国际租赁场地电力线路增容安装工程项目已获火炬园公司批准启动，招标人为佛山火炬创新创业园有限公司，</w:t>
      </w:r>
      <w:r>
        <w:rPr>
          <w:rFonts w:hint="eastAsia" w:ascii="宋体" w:hAnsi="宋体" w:eastAsia="宋体" w:cs="宋体"/>
          <w:sz w:val="24"/>
          <w:szCs w:val="24"/>
          <w:highlight w:val="none"/>
          <w:u w:val="single"/>
          <w:lang w:eastAsia="zh-CN"/>
        </w:rPr>
        <w:t>建设资金</w:t>
      </w:r>
      <w:r>
        <w:rPr>
          <w:rFonts w:hint="eastAsia" w:ascii="宋体" w:hAnsi="宋体" w:eastAsia="宋体" w:cs="宋体"/>
          <w:sz w:val="24"/>
          <w:szCs w:val="24"/>
          <w:highlight w:val="none"/>
          <w:u w:val="single"/>
          <w:lang w:val="en-US" w:eastAsia="zh-CN"/>
        </w:rPr>
        <w:t>来自企业自筹</w:t>
      </w:r>
      <w:r>
        <w:rPr>
          <w:rFonts w:hint="eastAsia" w:ascii="宋体" w:hAnsi="宋体" w:eastAsia="宋体" w:cs="宋体"/>
          <w:sz w:val="24"/>
          <w:szCs w:val="24"/>
          <w:highlight w:val="none"/>
          <w:u w:val="single"/>
          <w:lang w:eastAsia="zh-CN"/>
        </w:rPr>
        <w:t>。项目已具备招标条件，</w:t>
      </w:r>
      <w:r>
        <w:rPr>
          <w:rFonts w:hint="eastAsia" w:ascii="宋体" w:hAnsi="宋体" w:eastAsia="宋体" w:cs="宋体"/>
          <w:sz w:val="24"/>
          <w:szCs w:val="24"/>
          <w:highlight w:val="none"/>
          <w:u w:val="none"/>
          <w:lang w:eastAsia="zh-CN"/>
        </w:rPr>
        <w:t>现对该工程进行</w:t>
      </w:r>
      <w:r>
        <w:rPr>
          <w:rFonts w:hint="eastAsia" w:ascii="宋体" w:hAnsi="宋体" w:eastAsia="宋体" w:cs="宋体"/>
          <w:sz w:val="24"/>
          <w:szCs w:val="24"/>
          <w:highlight w:val="none"/>
          <w:u w:val="none"/>
          <w:lang w:val="en-US" w:eastAsia="zh-CN"/>
        </w:rPr>
        <w:t>内部邀请</w:t>
      </w:r>
      <w:r>
        <w:rPr>
          <w:rFonts w:hint="eastAsia" w:ascii="宋体" w:hAnsi="宋体" w:eastAsia="宋体" w:cs="宋体"/>
          <w:sz w:val="24"/>
          <w:szCs w:val="24"/>
          <w:highlight w:val="none"/>
          <w:u w:val="none"/>
          <w:lang w:eastAsia="zh-CN"/>
        </w:rPr>
        <w:t>招标。</w:t>
      </w:r>
      <w:r>
        <w:rPr>
          <w:rFonts w:hint="eastAsia" w:ascii="宋体" w:hAnsi="宋体" w:eastAsia="宋体" w:cs="宋体"/>
          <w:sz w:val="24"/>
          <w:szCs w:val="24"/>
          <w:highlight w:val="none"/>
          <w:u w:val="none"/>
          <w:lang w:val="en-US" w:eastAsia="zh-CN"/>
        </w:rPr>
        <w:t>各投标人可通过“佛山火炬创新创业园有限公司”官方网站下载获取项目招标文件等资料，下载获取招标文件后则视为受到邀请的投标人，具有参与项目投标资格</w:t>
      </w:r>
      <w:r>
        <w:rPr>
          <w:rFonts w:hint="eastAsia" w:ascii="宋体" w:hAnsi="宋体" w:eastAsia="宋体" w:cs="宋体"/>
          <w:sz w:val="24"/>
          <w:szCs w:val="24"/>
          <w:highlight w:val="none"/>
          <w:u w:val="none"/>
          <w:lang w:eastAsia="zh-CN"/>
        </w:rPr>
        <w:t>。</w:t>
      </w:r>
    </w:p>
    <w:p>
      <w:pPr>
        <w:pStyle w:val="7"/>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highlight w:val="none"/>
        </w:rPr>
      </w:pPr>
      <w:bookmarkStart w:id="5" w:name="_Toc4557"/>
      <w:bookmarkStart w:id="6" w:name="_Toc80890993"/>
      <w:bookmarkStart w:id="7" w:name="_Toc17066"/>
      <w:bookmarkStart w:id="8" w:name="_Toc437960962"/>
      <w:bookmarkStart w:id="9" w:name="_Toc15116"/>
      <w:r>
        <w:rPr>
          <w:rFonts w:hint="eastAsia" w:ascii="宋体" w:hAnsi="宋体" w:eastAsia="宋体" w:cs="宋体"/>
          <w:color w:val="000000"/>
          <w:sz w:val="28"/>
          <w:szCs w:val="28"/>
          <w:highlight w:val="none"/>
        </w:rPr>
        <w:t>2.工程概况与招标范围</w:t>
      </w:r>
      <w:bookmarkEnd w:id="5"/>
      <w:bookmarkEnd w:id="6"/>
      <w:bookmarkEnd w:id="7"/>
      <w:bookmarkEnd w:id="8"/>
      <w:bookmarkEnd w:id="9"/>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 建设地点：</w:t>
      </w:r>
      <w:r>
        <w:rPr>
          <w:rFonts w:hint="eastAsia" w:ascii="宋体" w:hAnsi="宋体" w:eastAsia="宋体" w:cs="宋体"/>
          <w:sz w:val="24"/>
          <w:szCs w:val="24"/>
          <w:highlight w:val="none"/>
          <w:u w:val="single"/>
          <w:lang w:eastAsia="zh-CN"/>
        </w:rPr>
        <w:t>佛山市禅城区</w:t>
      </w:r>
      <w:r>
        <w:rPr>
          <w:rFonts w:hint="eastAsia" w:ascii="宋体" w:hAnsi="宋体" w:eastAsia="宋体" w:cs="宋体"/>
          <w:sz w:val="24"/>
          <w:szCs w:val="24"/>
          <w:highlight w:val="none"/>
          <w:u w:val="single"/>
          <w:lang w:val="en-US" w:eastAsia="zh-CN"/>
        </w:rPr>
        <w:t>华宝南路13号</w:t>
      </w:r>
      <w:r>
        <w:rPr>
          <w:rFonts w:hint="eastAsia" w:ascii="宋体" w:hAnsi="宋体" w:eastAsia="宋体" w:cs="宋体"/>
          <w:color w:val="000000"/>
          <w:sz w:val="24"/>
          <w:szCs w:val="24"/>
          <w:highlight w:val="none"/>
          <w:u w:val="singl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2.2 项目建设规模：</w:t>
      </w:r>
      <w:r>
        <w:rPr>
          <w:rFonts w:hint="eastAsia" w:ascii="宋体" w:hAnsi="宋体" w:eastAsia="宋体" w:cs="宋体"/>
          <w:color w:val="000000"/>
          <w:sz w:val="24"/>
          <w:szCs w:val="24"/>
          <w:highlight w:val="none"/>
          <w:u w:val="single"/>
          <w:lang w:val="en-US" w:eastAsia="zh-CN"/>
        </w:rPr>
        <w:t>本项目属于一般小型电力增容项目。</w:t>
      </w:r>
    </w:p>
    <w:p>
      <w:pPr>
        <w:pStyle w:val="11"/>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计划工期：</w:t>
      </w:r>
      <w:r>
        <w:rPr>
          <w:rFonts w:hint="eastAsia" w:ascii="宋体" w:hAnsi="宋体" w:eastAsia="宋体" w:cs="宋体"/>
          <w:color w:val="000000"/>
          <w:sz w:val="24"/>
          <w:szCs w:val="24"/>
          <w:highlight w:val="none"/>
          <w:u w:val="single"/>
          <w:lang w:val="en-US" w:eastAsia="zh-CN"/>
        </w:rPr>
        <w:t>20</w:t>
      </w:r>
      <w:r>
        <w:rPr>
          <w:rFonts w:hint="eastAsia" w:ascii="宋体" w:hAnsi="宋体" w:eastAsia="宋体" w:cs="宋体"/>
          <w:color w:val="000000"/>
          <w:sz w:val="24"/>
          <w:szCs w:val="24"/>
          <w:highlight w:val="none"/>
        </w:rPr>
        <w:t>日历天，计划开工时间：</w:t>
      </w:r>
      <w:r>
        <w:rPr>
          <w:rFonts w:hint="eastAsia" w:ascii="宋体" w:hAnsi="宋体" w:eastAsia="宋体" w:cs="宋体"/>
          <w:color w:val="000000"/>
          <w:sz w:val="24"/>
          <w:szCs w:val="24"/>
          <w:highlight w:val="none"/>
          <w:u w:val="single"/>
          <w:lang w:val="en-US" w:eastAsia="zh-CN"/>
        </w:rPr>
        <w:t>实际开工日期以发包人发出的开工通知为准，</w:t>
      </w:r>
    </w:p>
    <w:p>
      <w:pPr>
        <w:pStyle w:val="11"/>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竣工验收日期不因雨天、假期</w:t>
      </w:r>
      <w:r>
        <w:rPr>
          <w:rFonts w:hint="eastAsia" w:ascii="宋体" w:hAnsi="宋体" w:eastAsia="宋体" w:cs="宋体"/>
          <w:color w:val="000000"/>
          <w:sz w:val="24"/>
          <w:szCs w:val="24"/>
          <w:highlight w:val="none"/>
          <w:u w:val="single"/>
          <w:lang w:eastAsia="zh-CN"/>
        </w:rPr>
        <w:t>及办理各方面的手续等因素而延后</w:t>
      </w:r>
      <w:r>
        <w:rPr>
          <w:rFonts w:hint="eastAsia" w:ascii="宋体" w:hAnsi="宋体" w:eastAsia="宋体" w:cs="宋体"/>
          <w:color w:val="000000"/>
          <w:sz w:val="24"/>
          <w:szCs w:val="24"/>
          <w:highlight w:val="none"/>
        </w:rPr>
        <w:t>，计划竣工日期：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p>
    <w:p>
      <w:pPr>
        <w:pStyle w:val="11"/>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2.4 招</w:t>
      </w:r>
      <w:r>
        <w:rPr>
          <w:rFonts w:hint="eastAsia" w:ascii="宋体" w:hAnsi="宋体" w:eastAsia="宋体" w:cs="宋体"/>
          <w:color w:val="000000"/>
          <w:sz w:val="24"/>
          <w:szCs w:val="24"/>
          <w:highlight w:val="none"/>
          <w:lang w:val="en-US" w:eastAsia="zh-CN"/>
        </w:rPr>
        <w:t>标控制价（最高投标限价）：</w:t>
      </w:r>
      <w:r>
        <w:rPr>
          <w:rFonts w:hint="eastAsia" w:ascii="宋体" w:hAnsi="宋体" w:eastAsia="宋体" w:cs="宋体"/>
          <w:color w:val="000000"/>
          <w:sz w:val="24"/>
          <w:szCs w:val="24"/>
          <w:highlight w:val="none"/>
          <w:u w:val="single"/>
          <w:lang w:val="en-US" w:eastAsia="zh-CN"/>
        </w:rPr>
        <w:t>￥527,639.14</w:t>
      </w:r>
      <w:r>
        <w:rPr>
          <w:rFonts w:hint="eastAsia" w:ascii="宋体" w:hAnsi="宋体" w:eastAsia="宋体" w:cs="宋体"/>
          <w:color w:val="000000"/>
          <w:sz w:val="24"/>
          <w:szCs w:val="24"/>
          <w:highlight w:val="none"/>
          <w:u w:val="none"/>
          <w:lang w:val="en-US" w:eastAsia="zh-CN"/>
        </w:rPr>
        <w:t>元,</w:t>
      </w:r>
      <w:r>
        <w:rPr>
          <w:rFonts w:hint="eastAsia" w:ascii="宋体" w:hAnsi="宋体" w:eastAsia="宋体" w:cs="宋体"/>
          <w:color w:val="000000"/>
          <w:sz w:val="24"/>
          <w:szCs w:val="24"/>
          <w:highlight w:val="none"/>
          <w:lang w:val="en-US" w:eastAsia="zh-CN"/>
        </w:rPr>
        <w:t>其中包含绿色施工安全防护措施费</w:t>
      </w:r>
      <w:r>
        <w:rPr>
          <w:rFonts w:hint="eastAsia" w:ascii="宋体" w:hAnsi="宋体" w:eastAsia="宋体" w:cs="宋体"/>
          <w:color w:val="000000"/>
          <w:sz w:val="24"/>
          <w:szCs w:val="24"/>
          <w:highlight w:val="none"/>
          <w:u w:val="single"/>
          <w:lang w:val="en-US" w:eastAsia="zh-CN"/>
        </w:rPr>
        <w:t>￥20,126.98</w:t>
      </w:r>
      <w:r>
        <w:rPr>
          <w:rFonts w:hint="eastAsia" w:ascii="宋体" w:hAnsi="宋体" w:eastAsia="宋体" w:cs="宋体"/>
          <w:color w:val="000000"/>
          <w:sz w:val="24"/>
          <w:szCs w:val="24"/>
          <w:highlight w:val="none"/>
          <w:u w:val="none"/>
          <w:lang w:val="en-US" w:eastAsia="zh-CN"/>
        </w:rPr>
        <w:t>元</w:t>
      </w:r>
      <w:r>
        <w:rPr>
          <w:rFonts w:hint="eastAsia" w:ascii="宋体" w:hAnsi="宋体" w:eastAsia="宋体" w:cs="宋体"/>
          <w:color w:val="000000"/>
          <w:sz w:val="24"/>
          <w:szCs w:val="24"/>
          <w:highlight w:val="none"/>
          <w:lang w:val="en-US" w:eastAsia="zh-CN"/>
        </w:rPr>
        <w:t>。</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000000"/>
          <w:sz w:val="24"/>
          <w:szCs w:val="24"/>
          <w:highlight w:val="none"/>
        </w:rPr>
        <w:t>2.5 本招标工程共分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个标段，</w:t>
      </w:r>
      <w:r>
        <w:rPr>
          <w:rFonts w:hint="eastAsia" w:ascii="宋体" w:hAnsi="宋体" w:eastAsia="宋体" w:cs="宋体"/>
          <w:color w:val="auto"/>
          <w:sz w:val="24"/>
          <w:szCs w:val="24"/>
          <w:highlight w:val="none"/>
          <w:lang w:val="en-US" w:eastAsia="zh-CN"/>
        </w:rPr>
        <w:t>具体内容详见施工图纸及工程量清单。</w:t>
      </w:r>
    </w:p>
    <w:p>
      <w:pPr>
        <w:pStyle w:val="11"/>
        <w:pageBreakBefore w:val="0"/>
        <w:widowControl w:val="0"/>
        <w:kinsoku/>
        <w:wordWrap/>
        <w:overflowPunct/>
        <w:topLinePunct w:val="0"/>
        <w:autoSpaceDE/>
        <w:autoSpaceDN/>
        <w:bidi w:val="0"/>
        <w:adjustRightInd/>
        <w:snapToGrid/>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承包方式：包工、包料、包工期、包安全、包文明施工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综合单价包干□固定总价</w:t>
      </w:r>
    </w:p>
    <w:p>
      <w:pPr>
        <w:pStyle w:val="11"/>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包干。</w:t>
      </w:r>
    </w:p>
    <w:p>
      <w:pPr>
        <w:pStyle w:val="11"/>
        <w:pageBreakBefore w:val="0"/>
        <w:widowControl w:val="0"/>
        <w:kinsoku/>
        <w:wordWrap/>
        <w:overflowPunct/>
        <w:topLinePunct w:val="0"/>
        <w:autoSpaceDE/>
        <w:autoSpaceDN/>
        <w:bidi w:val="0"/>
        <w:adjustRightInd/>
        <w:snapToGrid/>
        <w:spacing w:line="400" w:lineRule="exact"/>
        <w:ind w:left="480" w:hanging="480" w:hanging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2.7 工程质量要求：执行国家、省或行业现行的工程建设质量验收标准及规范，须达到 </w:t>
      </w:r>
      <w:r>
        <w:rPr>
          <w:rFonts w:hint="eastAsia" w:ascii="宋体" w:hAnsi="宋体" w:eastAsia="宋体" w:cs="宋体"/>
          <w:color w:val="000000"/>
          <w:sz w:val="24"/>
          <w:szCs w:val="24"/>
          <w:highlight w:val="none"/>
          <w:u w:val="single"/>
          <w:lang w:val="en-US" w:eastAsia="zh-CN"/>
        </w:rPr>
        <w:t xml:space="preserve">合格 </w:t>
      </w:r>
      <w:r>
        <w:rPr>
          <w:rFonts w:hint="eastAsia" w:ascii="宋体" w:hAnsi="宋体" w:eastAsia="宋体" w:cs="宋体"/>
          <w:color w:val="000000"/>
          <w:sz w:val="24"/>
          <w:szCs w:val="24"/>
          <w:highlight w:val="none"/>
          <w:lang w:val="en-US" w:eastAsia="zh-CN"/>
        </w:rPr>
        <w:t>验收质量等级标准。</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 安全文明施工要求: 符合国家、省、市安全生产、文明施工管理相关规定。</w:t>
      </w:r>
    </w:p>
    <w:p>
      <w:pPr>
        <w:pStyle w:val="7"/>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highlight w:val="none"/>
        </w:rPr>
      </w:pPr>
      <w:bookmarkStart w:id="10" w:name="_Toc437960963"/>
      <w:bookmarkStart w:id="11" w:name="_Toc13369"/>
      <w:bookmarkStart w:id="12" w:name="_Toc19631"/>
      <w:bookmarkStart w:id="13" w:name="_Toc31099"/>
      <w:bookmarkStart w:id="14" w:name="_Toc80890994"/>
      <w:r>
        <w:rPr>
          <w:rFonts w:hint="eastAsia" w:ascii="宋体" w:hAnsi="宋体" w:eastAsia="宋体" w:cs="宋体"/>
          <w:color w:val="000000"/>
          <w:sz w:val="28"/>
          <w:szCs w:val="28"/>
          <w:highlight w:val="none"/>
        </w:rPr>
        <w:t>3.资格审查方式</w:t>
      </w:r>
      <w:bookmarkEnd w:id="10"/>
      <w:bookmarkEnd w:id="11"/>
      <w:bookmarkEnd w:id="12"/>
      <w:bookmarkEnd w:id="13"/>
      <w:bookmarkEnd w:id="14"/>
    </w:p>
    <w:p>
      <w:pPr>
        <w:pStyle w:val="8"/>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本工程采用“资格后审”的方式确定合格投标人。  </w:t>
      </w:r>
    </w:p>
    <w:p>
      <w:pPr>
        <w:pStyle w:val="7"/>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sz w:val="28"/>
          <w:szCs w:val="28"/>
          <w:highlight w:val="none"/>
        </w:rPr>
      </w:pPr>
      <w:bookmarkStart w:id="15" w:name="_Toc3212"/>
      <w:bookmarkStart w:id="16" w:name="_Toc28714"/>
      <w:bookmarkStart w:id="17" w:name="_Toc437960964"/>
      <w:bookmarkStart w:id="18" w:name="_Toc80890995"/>
      <w:bookmarkStart w:id="19" w:name="_Toc5526"/>
      <w:r>
        <w:rPr>
          <w:rFonts w:hint="eastAsia" w:ascii="宋体" w:hAnsi="宋体" w:eastAsia="宋体" w:cs="宋体"/>
          <w:color w:val="000000"/>
          <w:sz w:val="28"/>
          <w:szCs w:val="28"/>
          <w:highlight w:val="none"/>
        </w:rPr>
        <w:t>4.投标人资格要求</w:t>
      </w:r>
      <w:bookmarkEnd w:id="15"/>
      <w:bookmarkEnd w:id="16"/>
      <w:bookmarkEnd w:id="17"/>
      <w:bookmarkEnd w:id="18"/>
      <w:bookmarkEnd w:id="19"/>
    </w:p>
    <w:p>
      <w:pPr>
        <w:pStyle w:val="11"/>
        <w:pageBreakBefore w:val="0"/>
        <w:widowControl w:val="0"/>
        <w:kinsoku/>
        <w:wordWrap/>
        <w:overflowPunct/>
        <w:topLinePunct w:val="0"/>
        <w:autoSpaceDE/>
        <w:autoSpaceDN/>
        <w:bidi w:val="0"/>
        <w:adjustRightInd/>
        <w:snapToGrid/>
        <w:spacing w:line="400" w:lineRule="exact"/>
        <w:ind w:left="479" w:leftChars="228"/>
        <w:rPr>
          <w:rFonts w:hint="eastAsia" w:ascii="宋体" w:hAnsi="宋体" w:cs="仿宋_GB2312"/>
          <w:color w:val="000000"/>
          <w:sz w:val="24"/>
          <w:szCs w:val="24"/>
          <w:highlight w:val="none"/>
        </w:rPr>
      </w:pPr>
      <w:r>
        <w:rPr>
          <w:rFonts w:hint="eastAsia" w:ascii="宋体" w:hAnsi="宋体" w:cs="仿宋_GB2312"/>
          <w:color w:val="000000"/>
          <w:sz w:val="24"/>
          <w:szCs w:val="24"/>
          <w:highlight w:val="none"/>
        </w:rPr>
        <w:t>投标人应具备承担本工程施工的资质条件、能力和信誉，具体要求如下：</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4.1 法人资格</w:t>
      </w:r>
    </w:p>
    <w:p>
      <w:pPr>
        <w:pStyle w:val="11"/>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仿宋_GB2312"/>
          <w:b/>
          <w:color w:val="auto"/>
          <w:sz w:val="24"/>
          <w:szCs w:val="24"/>
          <w:highlight w:val="none"/>
        </w:rPr>
      </w:pPr>
      <w:r>
        <w:rPr>
          <w:rFonts w:hint="eastAsia" w:ascii="宋体" w:hAnsi="宋体" w:cs="仿宋_GB2312"/>
          <w:color w:val="auto"/>
          <w:sz w:val="24"/>
          <w:szCs w:val="24"/>
          <w:highlight w:val="none"/>
        </w:rPr>
        <w:t>投标人应具有独立法人资格并依法取得营业执照，营业执照处于有效期。</w:t>
      </w:r>
    </w:p>
    <w:p>
      <w:pPr>
        <w:pStyle w:val="11"/>
        <w:pageBreakBefore w:val="0"/>
        <w:widowControl w:val="0"/>
        <w:kinsoku/>
        <w:wordWrap/>
        <w:overflowPunct/>
        <w:topLinePunct w:val="0"/>
        <w:autoSpaceDE/>
        <w:autoSpaceDN/>
        <w:bidi w:val="0"/>
        <w:adjustRightInd/>
        <w:snapToGrid/>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4.2 </w:t>
      </w:r>
      <w:r>
        <w:rPr>
          <w:rFonts w:hint="eastAsia" w:ascii="宋体" w:hAnsi="宋体" w:eastAsia="宋体" w:cs="宋体"/>
          <w:color w:val="auto"/>
          <w:sz w:val="24"/>
          <w:szCs w:val="24"/>
          <w:highlight w:val="none"/>
          <w:lang w:val="en-US" w:eastAsia="zh-CN"/>
        </w:rPr>
        <w:t>对投标人企业资质要求</w:t>
      </w:r>
    </w:p>
    <w:p>
      <w:pPr>
        <w:pStyle w:val="11"/>
        <w:pageBreakBefore w:val="0"/>
        <w:widowControl w:val="0"/>
        <w:kinsoku/>
        <w:wordWrap/>
        <w:overflowPunct/>
        <w:topLinePunct w:val="0"/>
        <w:autoSpaceDE/>
        <w:autoSpaceDN/>
        <w:bidi w:val="0"/>
        <w:adjustRightInd/>
        <w:snapToGrid/>
        <w:spacing w:line="400" w:lineRule="exact"/>
        <w:ind w:left="720" w:hanging="720" w:hanging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4.2.1投标人须具备下列资质之一：</w:t>
      </w:r>
    </w:p>
    <w:p>
      <w:pPr>
        <w:pStyle w:val="11"/>
        <w:pageBreakBefore w:val="0"/>
        <w:widowControl w:val="0"/>
        <w:kinsoku/>
        <w:wordWrap/>
        <w:overflowPunct/>
        <w:topLinePunct w:val="0"/>
        <w:autoSpaceDE/>
        <w:autoSpaceDN/>
        <w:bidi w:val="0"/>
        <w:adjustRightInd/>
        <w:snapToGrid/>
        <w:spacing w:line="400" w:lineRule="exact"/>
        <w:ind w:left="719" w:leftChars="228" w:hanging="240" w:hanging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①具备建设行政主管部门颁发的电力工程施工总承包三级或以上（含三级）资质；</w:t>
      </w:r>
    </w:p>
    <w:p>
      <w:pPr>
        <w:pStyle w:val="11"/>
        <w:pageBreakBefore w:val="0"/>
        <w:widowControl w:val="0"/>
        <w:kinsoku/>
        <w:wordWrap/>
        <w:overflowPunct/>
        <w:topLinePunct w:val="0"/>
        <w:autoSpaceDE/>
        <w:autoSpaceDN/>
        <w:bidi w:val="0"/>
        <w:adjustRightInd/>
        <w:snapToGrid/>
        <w:spacing w:line="400" w:lineRule="exact"/>
        <w:ind w:left="719" w:leftChars="228" w:hanging="240" w:hanging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②具备建设行政主管部门颁发的建筑机电安装工程专业承包三级或以上（含三级）资质；</w:t>
      </w:r>
    </w:p>
    <w:p>
      <w:pPr>
        <w:pStyle w:val="11"/>
        <w:pageBreakBefore w:val="0"/>
        <w:widowControl w:val="0"/>
        <w:kinsoku/>
        <w:wordWrap/>
        <w:overflowPunct/>
        <w:topLinePunct w:val="0"/>
        <w:autoSpaceDE/>
        <w:autoSpaceDN/>
        <w:bidi w:val="0"/>
        <w:adjustRightInd/>
        <w:snapToGrid/>
        <w:spacing w:line="400" w:lineRule="exact"/>
        <w:ind w:left="719" w:leftChars="228" w:hanging="240" w:hanging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③具备建设行政主管部门颁发的机电工程施工总承包三级或以上（含三级）资质。</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4.2.</w:t>
      </w: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本工程不接受联合体投标。</w:t>
      </w:r>
    </w:p>
    <w:p>
      <w:pPr>
        <w:pStyle w:val="11"/>
        <w:pageBreakBefore w:val="0"/>
        <w:widowControl w:val="0"/>
        <w:kinsoku/>
        <w:wordWrap/>
        <w:overflowPunct/>
        <w:topLinePunct w:val="0"/>
        <w:autoSpaceDE/>
        <w:autoSpaceDN/>
        <w:bidi w:val="0"/>
        <w:adjustRightInd/>
        <w:snapToGrid/>
        <w:spacing w:line="400" w:lineRule="exact"/>
        <w:ind w:left="470" w:hanging="470" w:hangingChars="196"/>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4.3 投标人须持有有效的《安全生产许可证》。</w:t>
      </w:r>
    </w:p>
    <w:p>
      <w:pPr>
        <w:pStyle w:val="11"/>
        <w:pageBreakBefore w:val="0"/>
        <w:widowControl w:val="0"/>
        <w:kinsoku/>
        <w:wordWrap/>
        <w:overflowPunct/>
        <w:topLinePunct w:val="0"/>
        <w:autoSpaceDE/>
        <w:autoSpaceDN/>
        <w:bidi w:val="0"/>
        <w:adjustRightInd/>
        <w:snapToGrid/>
        <w:spacing w:line="400" w:lineRule="exact"/>
        <w:ind w:left="706" w:hanging="705" w:hangingChars="294"/>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rPr>
        <w:t>4.</w:t>
      </w:r>
      <w:r>
        <w:rPr>
          <w:rFonts w:hint="eastAsia" w:ascii="宋体" w:hAnsi="宋体" w:cs="仿宋_GB2312"/>
          <w:color w:val="auto"/>
          <w:sz w:val="24"/>
          <w:szCs w:val="24"/>
          <w:highlight w:val="none"/>
          <w:lang w:val="en-US" w:eastAsia="zh-CN"/>
        </w:rPr>
        <w:t>4</w:t>
      </w:r>
      <w:r>
        <w:rPr>
          <w:rFonts w:hint="eastAsia" w:ascii="宋体" w:hAnsi="宋体" w:cs="仿宋_GB2312"/>
          <w:color w:val="auto"/>
          <w:sz w:val="24"/>
          <w:szCs w:val="24"/>
          <w:highlight w:val="none"/>
        </w:rPr>
        <w:t xml:space="preserve"> </w:t>
      </w:r>
      <w:r>
        <w:rPr>
          <w:rFonts w:hint="eastAsia" w:ascii="宋体" w:hAnsi="宋体" w:cs="仿宋_GB2312"/>
          <w:color w:val="auto"/>
          <w:sz w:val="24"/>
          <w:szCs w:val="24"/>
          <w:highlight w:val="none"/>
          <w:lang w:val="en-US" w:eastAsia="zh-CN"/>
        </w:rPr>
        <w:t>对投标人业绩要求：投标人自本项目发布招标公告（投标邀请函）之日起往前推算，三年内须具有至少三个类似项目业绩。</w:t>
      </w:r>
    </w:p>
    <w:p>
      <w:pPr>
        <w:pStyle w:val="11"/>
        <w:pageBreakBefore w:val="0"/>
        <w:widowControl w:val="0"/>
        <w:kinsoku/>
        <w:wordWrap/>
        <w:overflowPunct/>
        <w:topLinePunct w:val="0"/>
        <w:autoSpaceDE/>
        <w:autoSpaceDN/>
        <w:bidi w:val="0"/>
        <w:adjustRightInd/>
        <w:snapToGrid/>
        <w:spacing w:line="400" w:lineRule="exact"/>
        <w:ind w:left="706" w:hanging="705" w:hangingChars="294"/>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4.5</w:t>
      </w:r>
      <w:r>
        <w:rPr>
          <w:rFonts w:hint="eastAsia" w:ascii="宋体" w:hAnsi="宋体" w:cs="仿宋_GB2312"/>
          <w:color w:val="auto"/>
          <w:sz w:val="24"/>
          <w:szCs w:val="24"/>
          <w:highlight w:val="none"/>
        </w:rPr>
        <w:t>对投标人企业的信誉要求</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cs="仿宋_GB2312"/>
          <w:color w:val="auto"/>
          <w:sz w:val="24"/>
          <w:highlight w:val="none"/>
        </w:rPr>
      </w:pPr>
      <w:r>
        <w:rPr>
          <w:rFonts w:hint="eastAsia" w:ascii="宋体" w:hAnsi="宋体" w:cs="仿宋_GB2312"/>
          <w:color w:val="auto"/>
          <w:sz w:val="24"/>
          <w:szCs w:val="24"/>
          <w:highlight w:val="none"/>
        </w:rPr>
        <w:t>4.</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.1 没有处于被责令停业，财产被接管、冻结，破产状态。</w:t>
      </w:r>
      <w:r>
        <w:rPr>
          <w:rFonts w:hint="eastAsia" w:ascii="宋体" w:hAnsi="宋体" w:cs="仿宋_GB2312"/>
          <w:color w:val="auto"/>
          <w:sz w:val="24"/>
          <w:highlight w:val="none"/>
        </w:rPr>
        <w:t>（此处所指的“冻结”，是</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eastAsia" w:ascii="宋体" w:hAnsi="宋体" w:cs="仿宋_GB2312"/>
          <w:color w:val="auto"/>
          <w:sz w:val="24"/>
          <w:highlight w:val="none"/>
        </w:rPr>
      </w:pPr>
      <w:r>
        <w:rPr>
          <w:rFonts w:hint="eastAsia" w:ascii="宋体" w:hAnsi="宋体" w:cs="仿宋_GB2312"/>
          <w:color w:val="auto"/>
          <w:sz w:val="24"/>
          <w:highlight w:val="none"/>
        </w:rPr>
        <w:t>指被“冻结”的财产影响到投标人或潜在投标人的履约能力。其中财产被全部冻结</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eastAsia"/>
          <w:color w:val="auto"/>
          <w:sz w:val="24"/>
          <w:highlight w:val="none"/>
        </w:rPr>
      </w:pPr>
      <w:r>
        <w:rPr>
          <w:rFonts w:hint="eastAsia" w:ascii="宋体" w:hAnsi="宋体" w:cs="仿宋_GB2312"/>
          <w:color w:val="auto"/>
          <w:sz w:val="24"/>
          <w:highlight w:val="none"/>
        </w:rPr>
        <w:t>的，应当不具备投标资格；财产被部分冻结但</w:t>
      </w:r>
      <w:r>
        <w:rPr>
          <w:rFonts w:hint="eastAsia"/>
          <w:color w:val="auto"/>
          <w:sz w:val="24"/>
          <w:highlight w:val="none"/>
        </w:rPr>
        <w:t>不影响投标人对本项目履约能力的，</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eastAsia" w:ascii="宋体" w:hAnsi="宋体" w:eastAsia="宋体" w:cs="仿宋_GB2312"/>
          <w:color w:val="auto"/>
          <w:sz w:val="24"/>
          <w:szCs w:val="24"/>
          <w:highlight w:val="none"/>
          <w:lang w:eastAsia="zh-CN"/>
        </w:rPr>
      </w:pPr>
      <w:r>
        <w:rPr>
          <w:rFonts w:hint="eastAsia"/>
          <w:color w:val="auto"/>
          <w:sz w:val="24"/>
          <w:highlight w:val="none"/>
        </w:rPr>
        <w:t>具备投标资格</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w:t>
      </w:r>
    </w:p>
    <w:p>
      <w:pPr>
        <w:pStyle w:val="11"/>
        <w:pageBreakBefore w:val="0"/>
        <w:widowControl w:val="0"/>
        <w:kinsoku/>
        <w:wordWrap/>
        <w:overflowPunct/>
        <w:topLinePunct w:val="0"/>
        <w:autoSpaceDE/>
        <w:autoSpaceDN/>
        <w:bidi w:val="0"/>
        <w:adjustRightInd/>
        <w:snapToGrid/>
        <w:spacing w:line="400" w:lineRule="exact"/>
        <w:ind w:left="720" w:hanging="720" w:hangingChars="300"/>
        <w:rPr>
          <w:rFonts w:hint="eastAsia" w:ascii="宋体" w:hAnsi="宋体" w:eastAsia="宋体" w:cs="仿宋_GB2312"/>
          <w:color w:val="auto"/>
          <w:sz w:val="24"/>
          <w:szCs w:val="24"/>
          <w:highlight w:val="none"/>
          <w:lang w:eastAsia="zh-CN"/>
        </w:rPr>
      </w:pPr>
      <w:r>
        <w:rPr>
          <w:rFonts w:hint="eastAsia" w:ascii="宋体" w:hAnsi="宋体" w:cs="仿宋_GB2312"/>
          <w:color w:val="auto"/>
          <w:sz w:val="24"/>
          <w:szCs w:val="24"/>
          <w:highlight w:val="none"/>
        </w:rPr>
        <w:t>4.</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 xml:space="preserve">.2 </w:t>
      </w:r>
      <w:r>
        <w:rPr>
          <w:rFonts w:hint="eastAsia" w:ascii="宋体" w:hAnsi="宋体" w:cs="仿宋_GB2312"/>
          <w:color w:val="auto"/>
          <w:sz w:val="24"/>
          <w:highlight w:val="none"/>
        </w:rPr>
        <w:t>没有受到取消投标资格的行政处罚。（此处所指的“处罚”，是指依据《中华人民共和国行政处罚法》作出的有关取消投标资格的行政处罚，且该行政处罚信息已按照行政执法公示制度公开，除此之外，其他以通知、通报等形式或依据规范性文件对投标人投标资格作出的限制，不属于此处所指的“处罚”范畴）</w:t>
      </w:r>
      <w:r>
        <w:rPr>
          <w:rFonts w:hint="eastAsia" w:ascii="宋体" w:hAnsi="宋体" w:cs="仿宋_GB2312"/>
          <w:color w:val="auto"/>
          <w:sz w:val="24"/>
          <w:highlight w:val="none"/>
          <w:lang w:eastAsia="zh-CN"/>
        </w:rPr>
        <w:t>。</w:t>
      </w:r>
    </w:p>
    <w:p>
      <w:pPr>
        <w:pStyle w:val="11"/>
        <w:pageBreakBefore w:val="0"/>
        <w:widowControl w:val="0"/>
        <w:kinsoku/>
        <w:wordWrap/>
        <w:overflowPunct/>
        <w:topLinePunct w:val="0"/>
        <w:autoSpaceDE/>
        <w:autoSpaceDN/>
        <w:bidi w:val="0"/>
        <w:adjustRightInd/>
        <w:snapToGrid/>
        <w:spacing w:line="400" w:lineRule="exact"/>
        <w:ind w:left="720" w:hanging="720" w:hangingChars="3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4.5.3</w:t>
      </w:r>
      <w:r>
        <w:rPr>
          <w:rFonts w:hint="eastAsia" w:ascii="宋体" w:hAnsi="宋体" w:cs="仿宋_GB2312"/>
          <w:color w:val="auto"/>
          <w:sz w:val="24"/>
          <w:szCs w:val="24"/>
          <w:highlight w:val="none"/>
        </w:rPr>
        <w:t>在最近三年内没有骗取中标和严重违约及重大工程质量问题或重大安全生产事故。</w:t>
      </w:r>
    </w:p>
    <w:p>
      <w:pPr>
        <w:pStyle w:val="11"/>
        <w:pageBreakBefore w:val="0"/>
        <w:widowControl w:val="0"/>
        <w:kinsoku/>
        <w:wordWrap/>
        <w:overflowPunct/>
        <w:topLinePunct w:val="0"/>
        <w:autoSpaceDE/>
        <w:autoSpaceDN/>
        <w:bidi w:val="0"/>
        <w:adjustRightInd/>
        <w:snapToGrid/>
        <w:spacing w:line="400" w:lineRule="exact"/>
        <w:ind w:left="719" w:leftChars="228" w:hanging="240" w:hangingChars="100"/>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rPr>
        <w:t>（此处“骗取中标”是指依据《中华人民共和国行政处罚法》所作出的《行政处罚决定书》中所认定的违法行为；“严重违约及重大工程质量问题或重大安全生产事故”则以司法、仲裁机构等出具的生效文件予以认定，其中的“重大”工程质量问题或“重大”安全生产事故，是指生效文件认定的“重大”事故等级达到《关于做好房屋建筑和市政基础设施工程质量事故报告和调查处理工作的通知》和《生产安全事故报告和调查处理条例》的标准；“最近三年”是指该项目</w:t>
      </w:r>
      <w:r>
        <w:rPr>
          <w:rFonts w:hint="eastAsia" w:ascii="宋体" w:hAnsi="宋体" w:cs="仿宋_GB2312"/>
          <w:color w:val="auto"/>
          <w:sz w:val="24"/>
          <w:szCs w:val="24"/>
          <w:highlight w:val="none"/>
          <w:lang w:eastAsia="zh-CN"/>
        </w:rPr>
        <w:t>招标公告/投标邀请函</w:t>
      </w:r>
      <w:r>
        <w:rPr>
          <w:rFonts w:hint="eastAsia" w:ascii="宋体" w:hAnsi="宋体" w:cs="仿宋_GB2312"/>
          <w:color w:val="auto"/>
          <w:sz w:val="24"/>
          <w:szCs w:val="24"/>
          <w:highlight w:val="none"/>
        </w:rPr>
        <w:t>发出之日起往前顺推三年，以《行政处罚决定书》或司法、仲裁机构等出具的生效文件的落款时间为准）</w:t>
      </w:r>
      <w:r>
        <w:rPr>
          <w:rFonts w:hint="eastAsia" w:ascii="宋体" w:hAnsi="宋体" w:cs="仿宋_GB2312"/>
          <w:color w:val="auto"/>
          <w:sz w:val="24"/>
          <w:szCs w:val="24"/>
          <w:highlight w:val="none"/>
          <w:lang w:eastAsia="zh-CN"/>
        </w:rPr>
        <w:t>。</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r>
        <w:rPr>
          <w:rFonts w:hint="eastAsia" w:ascii="宋体" w:hAnsi="宋体" w:cs="仿宋_GB2312"/>
          <w:color w:val="auto"/>
          <w:sz w:val="24"/>
          <w:szCs w:val="24"/>
          <w:highlight w:val="none"/>
          <w:lang w:val="en-US" w:eastAsia="zh-CN"/>
        </w:rPr>
        <w:t>4.5.4</w:t>
      </w:r>
      <w:r>
        <w:rPr>
          <w:rFonts w:hint="eastAsia" w:ascii="宋体" w:hAnsi="宋体" w:cs="宋体"/>
          <w:color w:val="auto"/>
          <w:sz w:val="24"/>
          <w:highlight w:val="none"/>
        </w:rPr>
        <w:t>根据佛山市中级人民法院《启用执行联动机制决定书》和《协助执行通知书》的要</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eastAsia" w:ascii="宋体" w:hAnsi="宋体" w:cs="仿宋_GB2312"/>
          <w:color w:val="auto"/>
          <w:sz w:val="24"/>
          <w:highlight w:val="none"/>
        </w:rPr>
      </w:pPr>
      <w:r>
        <w:rPr>
          <w:rFonts w:hint="eastAsia" w:ascii="宋体" w:hAnsi="宋体" w:cs="宋体"/>
          <w:color w:val="auto"/>
          <w:sz w:val="24"/>
          <w:highlight w:val="none"/>
        </w:rPr>
        <w:t>求，投标人若为名单上的失信被执行人，不得参加本工程项目投标</w:t>
      </w:r>
      <w:r>
        <w:rPr>
          <w:rFonts w:hint="eastAsia" w:ascii="宋体" w:hAnsi="宋体" w:cs="仿宋_GB2312"/>
          <w:color w:val="auto"/>
          <w:sz w:val="24"/>
          <w:highlight w:val="none"/>
        </w:rPr>
        <w:t>。</w:t>
      </w:r>
    </w:p>
    <w:p>
      <w:pPr>
        <w:pStyle w:val="11"/>
        <w:pageBreakBefore w:val="0"/>
        <w:widowControl w:val="0"/>
        <w:kinsoku/>
        <w:wordWrap/>
        <w:overflowPunct/>
        <w:topLinePunct w:val="0"/>
        <w:autoSpaceDE/>
        <w:autoSpaceDN/>
        <w:bidi w:val="0"/>
        <w:adjustRightInd/>
        <w:snapToGrid/>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4.5.5</w:t>
      </w:r>
      <w:r>
        <w:rPr>
          <w:rFonts w:hint="eastAsia" w:ascii="宋体" w:hAnsi="宋体" w:cs="仿宋_GB2312"/>
          <w:color w:val="auto"/>
          <w:sz w:val="24"/>
          <w:highlight w:val="none"/>
        </w:rPr>
        <w:t>根据《佛山市发展和改革局等8部门关于在公共资源交易事项中进行信用信息查询</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eastAsia" w:ascii="宋体" w:hAnsi="宋体" w:cs="仿宋_GB2312"/>
          <w:color w:val="auto"/>
          <w:sz w:val="24"/>
          <w:highlight w:val="none"/>
        </w:rPr>
      </w:pPr>
      <w:r>
        <w:rPr>
          <w:rFonts w:hint="eastAsia" w:ascii="宋体" w:hAnsi="宋体" w:cs="仿宋_GB2312"/>
          <w:color w:val="auto"/>
          <w:sz w:val="24"/>
          <w:highlight w:val="none"/>
        </w:rPr>
        <w:t>和实施联合奖惩的通知》（佛发改信用〔2019〕1号），对被佛山市公共信用信息</w:t>
      </w:r>
    </w:p>
    <w:p>
      <w:pPr>
        <w:pStyle w:val="11"/>
        <w:pageBreakBefore w:val="0"/>
        <w:widowControl w:val="0"/>
        <w:kinsoku/>
        <w:wordWrap/>
        <w:overflowPunct/>
        <w:topLinePunct w:val="0"/>
        <w:autoSpaceDE/>
        <w:autoSpaceDN/>
        <w:bidi w:val="0"/>
        <w:adjustRightInd/>
        <w:snapToGrid/>
        <w:spacing w:line="400" w:lineRule="exact"/>
        <w:ind w:firstLine="720" w:firstLineChars="30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管理系统列入失信名单的投标人，不得参加投标。</w:t>
      </w:r>
    </w:p>
    <w:p>
      <w:pPr>
        <w:pStyle w:val="7"/>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sz w:val="28"/>
          <w:szCs w:val="28"/>
          <w:highlight w:val="none"/>
          <w:lang w:val="en-US" w:eastAsia="zh-CN"/>
        </w:rPr>
      </w:pPr>
      <w:bookmarkStart w:id="20" w:name="_Toc4204"/>
      <w:bookmarkStart w:id="21" w:name="_Toc437960976"/>
      <w:bookmarkStart w:id="22" w:name="_Toc15811"/>
      <w:bookmarkStart w:id="23" w:name="_Toc3863"/>
      <w:bookmarkStart w:id="24" w:name="_Toc8215"/>
      <w:bookmarkStart w:id="25" w:name="_Toc742"/>
      <w:r>
        <w:rPr>
          <w:rFonts w:hint="eastAsia" w:ascii="宋体" w:hAnsi="宋体" w:eastAsia="宋体" w:cs="宋体"/>
          <w:b/>
          <w:bCs/>
          <w:color w:val="000000"/>
          <w:sz w:val="28"/>
          <w:szCs w:val="28"/>
          <w:highlight w:val="none"/>
          <w:lang w:val="en-US" w:eastAsia="zh-CN"/>
        </w:rPr>
        <w:t>5.投标确认</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exact"/>
        <w:ind w:left="480" w:hanging="482" w:hangingChars="200"/>
        <w:rPr>
          <w:rFonts w:hint="eastAsia" w:ascii="宋体" w:hAnsi="宋体" w:eastAsia="宋体" w:cs="宋体"/>
          <w:kern w:val="0"/>
          <w:sz w:val="24"/>
          <w:highlight w:val="none"/>
          <w:lang w:val="en-US" w:eastAsia="zh-CN"/>
        </w:rPr>
      </w:pPr>
      <w:r>
        <w:rPr>
          <w:rFonts w:hint="eastAsia" w:ascii="宋体" w:hAnsi="宋体" w:eastAsia="宋体" w:cs="宋体"/>
          <w:b/>
          <w:bCs/>
          <w:kern w:val="0"/>
          <w:sz w:val="24"/>
          <w:highlight w:val="none"/>
          <w:lang w:val="en-US" w:eastAsia="zh-CN"/>
        </w:rPr>
        <w:t>5.1投标人在获取招标文件等资料后，必须在</w:t>
      </w:r>
      <w:r>
        <w:rPr>
          <w:rFonts w:hint="eastAsia" w:ascii="宋体" w:hAnsi="宋体" w:eastAsia="宋体" w:cs="宋体"/>
          <w:b/>
          <w:bCs/>
          <w:kern w:val="0"/>
          <w:sz w:val="24"/>
          <w:highlight w:val="none"/>
          <w:u w:val="single"/>
          <w:lang w:val="en-US" w:eastAsia="zh-CN"/>
        </w:rPr>
        <w:t>2024</w:t>
      </w:r>
      <w:r>
        <w:rPr>
          <w:rFonts w:hint="eastAsia" w:ascii="宋体" w:hAnsi="宋体" w:eastAsia="宋体" w:cs="宋体"/>
          <w:b/>
          <w:bCs/>
          <w:kern w:val="0"/>
          <w:sz w:val="24"/>
          <w:highlight w:val="none"/>
          <w:lang w:val="en-US" w:eastAsia="zh-CN"/>
        </w:rPr>
        <w:t>年</w:t>
      </w:r>
      <w:r>
        <w:rPr>
          <w:rFonts w:hint="eastAsia" w:ascii="宋体" w:hAnsi="宋体" w:eastAsia="宋体" w:cs="宋体"/>
          <w:b/>
          <w:bCs/>
          <w:kern w:val="0"/>
          <w:sz w:val="24"/>
          <w:highlight w:val="none"/>
          <w:u w:val="single"/>
          <w:lang w:val="en-US" w:eastAsia="zh-CN"/>
        </w:rPr>
        <w:t xml:space="preserve"> 3 </w:t>
      </w:r>
      <w:r>
        <w:rPr>
          <w:rFonts w:hint="eastAsia" w:ascii="宋体" w:hAnsi="宋体" w:eastAsia="宋体" w:cs="宋体"/>
          <w:b/>
          <w:bCs/>
          <w:kern w:val="0"/>
          <w:sz w:val="24"/>
          <w:highlight w:val="none"/>
          <w:lang w:val="en-US" w:eastAsia="zh-CN"/>
        </w:rPr>
        <w:t>月</w:t>
      </w:r>
      <w:r>
        <w:rPr>
          <w:rFonts w:hint="eastAsia" w:ascii="宋体" w:hAnsi="宋体" w:eastAsia="宋体" w:cs="宋体"/>
          <w:b/>
          <w:bCs/>
          <w:kern w:val="0"/>
          <w:sz w:val="24"/>
          <w:highlight w:val="none"/>
          <w:u w:val="single"/>
          <w:lang w:val="en-US" w:eastAsia="zh-CN"/>
        </w:rPr>
        <w:t xml:space="preserve"> 25  </w:t>
      </w:r>
      <w:r>
        <w:rPr>
          <w:rFonts w:hint="eastAsia" w:ascii="宋体" w:hAnsi="宋体" w:eastAsia="宋体" w:cs="宋体"/>
          <w:b/>
          <w:bCs/>
          <w:kern w:val="0"/>
          <w:sz w:val="24"/>
          <w:highlight w:val="none"/>
          <w:lang w:val="en-US" w:eastAsia="zh-CN"/>
        </w:rPr>
        <w:t>日</w:t>
      </w:r>
      <w:r>
        <w:rPr>
          <w:rFonts w:hint="eastAsia" w:ascii="宋体" w:hAnsi="宋体" w:eastAsia="宋体" w:cs="宋体"/>
          <w:b/>
          <w:bCs/>
          <w:kern w:val="0"/>
          <w:sz w:val="24"/>
          <w:highlight w:val="none"/>
          <w:u w:val="single"/>
          <w:lang w:val="en-US" w:eastAsia="zh-CN"/>
        </w:rPr>
        <w:t>17</w:t>
      </w:r>
      <w:r>
        <w:rPr>
          <w:rFonts w:hint="eastAsia" w:ascii="宋体" w:hAnsi="宋体" w:eastAsia="宋体" w:cs="宋体"/>
          <w:b/>
          <w:bCs/>
          <w:kern w:val="0"/>
          <w:sz w:val="24"/>
          <w:highlight w:val="none"/>
          <w:lang w:val="en-US" w:eastAsia="zh-CN"/>
        </w:rPr>
        <w:t>时</w:t>
      </w:r>
      <w:r>
        <w:rPr>
          <w:rFonts w:hint="eastAsia" w:ascii="宋体" w:hAnsi="宋体" w:eastAsia="宋体" w:cs="宋体"/>
          <w:b/>
          <w:bCs/>
          <w:kern w:val="0"/>
          <w:sz w:val="24"/>
          <w:highlight w:val="none"/>
          <w:u w:val="single"/>
          <w:lang w:val="en-US" w:eastAsia="zh-CN"/>
        </w:rPr>
        <w:t>00</w:t>
      </w:r>
      <w:r>
        <w:rPr>
          <w:rFonts w:hint="eastAsia" w:ascii="宋体" w:hAnsi="宋体" w:eastAsia="宋体" w:cs="宋体"/>
          <w:b/>
          <w:bCs/>
          <w:kern w:val="0"/>
          <w:sz w:val="24"/>
          <w:highlight w:val="none"/>
          <w:lang w:val="en-US" w:eastAsia="zh-CN"/>
        </w:rPr>
        <w:t>分前将“投标确认函”发送至电子邮箱：fshjcxcyy@163.com 确认是否参与项目投标，明确不参加或逾期未进行确认的将失去投标资格。</w:t>
      </w:r>
    </w:p>
    <w:bookmarkEnd w:id="24"/>
    <w:bookmarkEnd w:id="25"/>
    <w:p>
      <w:pPr>
        <w:keepNext w:val="0"/>
        <w:keepLines w:val="0"/>
        <w:pageBreakBefore w:val="0"/>
        <w:widowControl w:val="0"/>
        <w:kinsoku/>
        <w:wordWrap/>
        <w:overflowPunct/>
        <w:topLinePunct w:val="0"/>
        <w:autoSpaceDE/>
        <w:autoSpaceDN/>
        <w:bidi w:val="0"/>
        <w:adjustRightInd/>
        <w:snapToGrid/>
        <w:spacing w:line="400" w:lineRule="exact"/>
        <w:ind w:left="480" w:hanging="560" w:hangingChars="200"/>
        <w:outlineLvl w:val="1"/>
        <w:rPr>
          <w:rFonts w:hint="eastAsia" w:ascii="宋体" w:hAnsi="宋体" w:eastAsia="宋体" w:cs="宋体"/>
          <w:b/>
          <w:bCs/>
          <w:sz w:val="28"/>
          <w:szCs w:val="28"/>
          <w:highlight w:val="none"/>
        </w:rPr>
      </w:pPr>
      <w:bookmarkStart w:id="26" w:name="_Toc20366"/>
      <w:bookmarkStart w:id="27" w:name="_Toc437960980"/>
      <w:bookmarkStart w:id="28" w:name="_Toc18999"/>
      <w:r>
        <w:rPr>
          <w:rFonts w:hint="eastAsia" w:ascii="宋体" w:hAnsi="宋体" w:eastAsia="宋体" w:cs="宋体"/>
          <w:b w:val="0"/>
          <w:bCs w:val="0"/>
          <w:sz w:val="28"/>
          <w:szCs w:val="28"/>
          <w:highlight w:val="none"/>
        </w:rPr>
        <w:t>6.</w:t>
      </w:r>
      <w:r>
        <w:rPr>
          <w:rFonts w:hint="eastAsia" w:ascii="宋体" w:hAnsi="宋体" w:eastAsia="宋体" w:cs="宋体"/>
          <w:b/>
          <w:bCs/>
          <w:sz w:val="28"/>
          <w:szCs w:val="28"/>
          <w:highlight w:val="none"/>
        </w:rPr>
        <w:t>投标文件的递交</w:t>
      </w:r>
      <w:bookmarkEnd w:id="26"/>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6.1投标文件递交的截止时间</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6.1.1投标文件递交的截止时间：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2024</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lang w:val="en-US" w:eastAsia="zh-CN"/>
        </w:rPr>
        <w:t xml:space="preserve">  3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26  </w:t>
      </w:r>
      <w:r>
        <w:rPr>
          <w:rFonts w:hint="eastAsia" w:ascii="宋体" w:hAnsi="宋体" w:eastAsia="宋体" w:cs="宋体"/>
          <w:kern w:val="0"/>
          <w:sz w:val="24"/>
          <w:highlight w:val="none"/>
        </w:rPr>
        <w:t>日</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9</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时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30</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w:t>
      </w:r>
      <w:r>
        <w:rPr>
          <w:rFonts w:hint="eastAsia" w:ascii="宋体" w:hAnsi="宋体" w:eastAsia="宋体" w:cs="宋体"/>
          <w:kern w:val="0"/>
          <w:sz w:val="24"/>
          <w:highlight w:val="none"/>
          <w:lang w:eastAsia="zh-CN"/>
        </w:rPr>
        <w:t>（北京时间）</w:t>
      </w:r>
      <w:r>
        <w:rPr>
          <w:rFonts w:hint="eastAsia" w:ascii="宋体" w:hAnsi="宋体" w:eastAsia="宋体" w:cs="宋体"/>
          <w:kern w:val="0"/>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6.1.2开标时间：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2024</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3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26   </w:t>
      </w:r>
      <w:r>
        <w:rPr>
          <w:rFonts w:hint="eastAsia" w:ascii="宋体" w:hAnsi="宋体" w:eastAsia="宋体" w:cs="宋体"/>
          <w:kern w:val="0"/>
          <w:sz w:val="24"/>
          <w:highlight w:val="none"/>
        </w:rPr>
        <w:t>日</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9</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时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30</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w:t>
      </w:r>
      <w:r>
        <w:rPr>
          <w:rFonts w:hint="eastAsia" w:ascii="宋体" w:hAnsi="宋体" w:eastAsia="宋体" w:cs="宋体"/>
          <w:kern w:val="0"/>
          <w:sz w:val="24"/>
          <w:highlight w:val="none"/>
          <w:lang w:eastAsia="zh-CN"/>
        </w:rPr>
        <w:t>（北京时间）</w:t>
      </w:r>
      <w:r>
        <w:rPr>
          <w:rFonts w:hint="eastAsia" w:ascii="宋体" w:hAnsi="宋体" w:eastAsia="宋体" w:cs="宋体"/>
          <w:kern w:val="0"/>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6.1.3递交投标文件起止时间与开标时间是否有变化，请密切留意招标澄清（答疑）、补充、修改等文件中的相关信息。</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outlineLvl w:val="9"/>
        <w:rPr>
          <w:rFonts w:hint="eastAsia" w:ascii="宋体" w:hAnsi="宋体" w:eastAsia="宋体" w:cs="宋体"/>
          <w:b/>
          <w:bCs/>
          <w:color w:val="000000"/>
          <w:kern w:val="0"/>
          <w:sz w:val="24"/>
          <w:highlight w:val="none"/>
          <w:lang w:val="en-US" w:eastAsia="zh-CN"/>
        </w:rPr>
      </w:pPr>
      <w:r>
        <w:rPr>
          <w:rFonts w:hint="eastAsia" w:ascii="宋体" w:hAnsi="宋体" w:eastAsia="宋体" w:cs="宋体"/>
          <w:kern w:val="0"/>
          <w:sz w:val="24"/>
          <w:highlight w:val="none"/>
        </w:rPr>
        <w:t>6.2投标文件递交地址：投标人应于投标截止时间前将投标文件密封送达</w:t>
      </w:r>
      <w:r>
        <w:rPr>
          <w:rFonts w:hint="eastAsia" w:ascii="宋体" w:hAnsi="宋体" w:eastAsia="宋体" w:cs="宋体"/>
          <w:b/>
          <w:bCs/>
          <w:color w:val="000000"/>
          <w:kern w:val="0"/>
          <w:sz w:val="24"/>
          <w:highlight w:val="none"/>
          <w:lang w:val="en-US" w:eastAsia="zh-CN"/>
        </w:rPr>
        <w:t>广东省佛山市禅城区华宝南路13号火炬园D座二楼佛山火炬创新创业园有限公司。</w:t>
      </w:r>
    </w:p>
    <w:p>
      <w:pPr>
        <w:keepNext w:val="0"/>
        <w:keepLines w:val="0"/>
        <w:pageBreakBefore w:val="0"/>
        <w:widowControl w:val="0"/>
        <w:kinsoku/>
        <w:wordWrap/>
        <w:overflowPunct/>
        <w:topLinePunct w:val="0"/>
        <w:autoSpaceDE/>
        <w:autoSpaceDN/>
        <w:bidi w:val="0"/>
        <w:adjustRightInd/>
        <w:snapToGrid/>
        <w:spacing w:line="400" w:lineRule="exact"/>
        <w:ind w:left="480" w:hanging="562" w:hangingChars="200"/>
        <w:textAlignment w:val="baseline"/>
        <w:outlineLvl w:val="1"/>
        <w:rPr>
          <w:rFonts w:hint="eastAsia" w:ascii="宋体" w:hAnsi="宋体" w:eastAsia="宋体" w:cs="宋体"/>
          <w:b/>
          <w:bCs/>
          <w:sz w:val="28"/>
          <w:szCs w:val="28"/>
          <w:highlight w:val="none"/>
        </w:rPr>
      </w:pPr>
      <w:bookmarkStart w:id="29" w:name="_Toc605"/>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.异议与投诉</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rPr>
          <w:rFonts w:hint="eastAsia" w:ascii="宋体" w:hAnsi="宋体" w:cs="仿宋_GB2312"/>
          <w:bCs/>
          <w:sz w:val="24"/>
          <w:highlight w:val="none"/>
        </w:rPr>
      </w:pPr>
      <w:r>
        <w:rPr>
          <w:rFonts w:hint="eastAsia" w:ascii="宋体" w:hAnsi="宋体" w:cs="仿宋_GB2312"/>
          <w:bCs/>
          <w:sz w:val="24"/>
          <w:highlight w:val="none"/>
          <w:lang w:val="en-US" w:eastAsia="zh-CN"/>
        </w:rPr>
        <w:t>7</w:t>
      </w:r>
      <w:r>
        <w:rPr>
          <w:rFonts w:hint="eastAsia" w:ascii="宋体" w:hAnsi="宋体" w:cs="仿宋_GB2312"/>
          <w:bCs/>
          <w:sz w:val="24"/>
          <w:highlight w:val="none"/>
        </w:rPr>
        <w:t xml:space="preserve">.1 </w:t>
      </w:r>
      <w:r>
        <w:rPr>
          <w:rFonts w:hint="eastAsia" w:ascii="宋体" w:hAnsi="宋体" w:cs="仿宋_GB2312"/>
          <w:bCs/>
          <w:sz w:val="24"/>
          <w:highlight w:val="none"/>
          <w:lang w:eastAsia="zh-CN"/>
        </w:rPr>
        <w:t>若</w:t>
      </w:r>
      <w:r>
        <w:rPr>
          <w:rFonts w:hint="eastAsia" w:ascii="宋体" w:hAnsi="宋体" w:cs="仿宋_GB2312"/>
          <w:bCs/>
          <w:sz w:val="24"/>
          <w:highlight w:val="none"/>
        </w:rPr>
        <w:t>潜在投标人或其他利害关系人认为本公告及</w:t>
      </w:r>
      <w:r>
        <w:rPr>
          <w:rFonts w:hint="eastAsia" w:ascii="宋体" w:hAnsi="宋体" w:cs="仿宋_GB2312"/>
          <w:bCs/>
          <w:sz w:val="24"/>
          <w:highlight w:val="none"/>
          <w:lang w:eastAsia="zh-CN"/>
        </w:rPr>
        <w:t>邀标文件</w:t>
      </w:r>
      <w:r>
        <w:rPr>
          <w:rFonts w:hint="eastAsia" w:ascii="宋体" w:hAnsi="宋体" w:cs="仿宋_GB2312"/>
          <w:bCs/>
          <w:sz w:val="24"/>
          <w:highlight w:val="none"/>
        </w:rPr>
        <w:t>的内容违法违规或不公平、不公正，损害其利益的，可以向招标人提出异议（异议应当在投标截止时间</w:t>
      </w:r>
      <w:r>
        <w:rPr>
          <w:rFonts w:hint="eastAsia" w:ascii="宋体" w:hAnsi="宋体" w:cs="仿宋_GB2312"/>
          <w:bCs/>
          <w:sz w:val="24"/>
          <w:highlight w:val="none"/>
          <w:lang w:val="en-US" w:eastAsia="zh-CN"/>
        </w:rPr>
        <w:t>3</w:t>
      </w:r>
      <w:r>
        <w:rPr>
          <w:rFonts w:hint="eastAsia" w:ascii="宋体" w:hAnsi="宋体" w:cs="仿宋_GB2312"/>
          <w:bCs/>
          <w:sz w:val="24"/>
          <w:highlight w:val="none"/>
        </w:rPr>
        <w:t>日前提出）。</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rPr>
          <w:rFonts w:hint="eastAsia"/>
          <w:b/>
          <w:bCs/>
          <w:sz w:val="28"/>
          <w:szCs w:val="28"/>
          <w:highlight w:val="none"/>
          <w:lang w:val="en-US" w:eastAsia="zh-CN"/>
        </w:rPr>
      </w:pPr>
      <w:r>
        <w:rPr>
          <w:rFonts w:hint="eastAsia" w:ascii="宋体" w:hAnsi="宋体" w:cs="仿宋_GB2312"/>
          <w:bCs/>
          <w:sz w:val="24"/>
          <w:highlight w:val="none"/>
          <w:lang w:val="en-US" w:eastAsia="zh-CN"/>
        </w:rPr>
        <w:t>7</w:t>
      </w:r>
      <w:r>
        <w:rPr>
          <w:rFonts w:hint="eastAsia" w:ascii="宋体" w:hAnsi="宋体" w:cs="仿宋_GB2312"/>
          <w:bCs/>
          <w:sz w:val="24"/>
          <w:highlight w:val="none"/>
        </w:rPr>
        <w:t>.2 潜在投标人或其他利害关系人应当充分重视异议、投诉提出的时限，避免异议权、投诉权因时效原因而灭失。</w:t>
      </w:r>
      <w:bookmarkStart w:id="30" w:name="_Toc437960981"/>
    </w:p>
    <w:bookmarkEnd w:id="30"/>
    <w:p>
      <w:pPr>
        <w:keepNext w:val="0"/>
        <w:keepLines w:val="0"/>
        <w:pageBreakBefore w:val="0"/>
        <w:widowControl w:val="0"/>
        <w:kinsoku/>
        <w:wordWrap/>
        <w:overflowPunct/>
        <w:topLinePunct w:val="0"/>
        <w:autoSpaceDE/>
        <w:autoSpaceDN/>
        <w:bidi w:val="0"/>
        <w:adjustRightInd/>
        <w:snapToGrid/>
        <w:spacing w:line="400" w:lineRule="exact"/>
        <w:ind w:left="480" w:hanging="562" w:hangingChars="200"/>
        <w:outlineLvl w:val="1"/>
        <w:rPr>
          <w:rFonts w:hint="eastAsia" w:ascii="宋体" w:hAnsi="宋体" w:eastAsia="宋体" w:cs="宋体"/>
          <w:b/>
          <w:bCs/>
          <w:sz w:val="28"/>
          <w:szCs w:val="28"/>
          <w:highlight w:val="none"/>
        </w:rPr>
      </w:pPr>
      <w:bookmarkStart w:id="31" w:name="_Toc27021"/>
      <w:bookmarkStart w:id="32" w:name="_Toc14145"/>
      <w:bookmarkStart w:id="33" w:name="_Toc25783"/>
      <w:bookmarkStart w:id="34" w:name="_Toc437960982"/>
      <w:bookmarkStart w:id="35" w:name="_Toc31178"/>
      <w:bookmarkStart w:id="36" w:name="_Toc7914"/>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.其他</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color w:val="000000"/>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.1</w:t>
      </w:r>
      <w:r>
        <w:rPr>
          <w:rFonts w:hint="eastAsia" w:ascii="宋体" w:hAnsi="宋体" w:eastAsia="宋体" w:cs="宋体"/>
          <w:b/>
          <w:kern w:val="0"/>
          <w:sz w:val="24"/>
          <w:highlight w:val="none"/>
        </w:rPr>
        <w:t>投标人要求澄清</w:t>
      </w:r>
      <w:r>
        <w:rPr>
          <w:rFonts w:hint="eastAsia" w:ascii="宋体" w:hAnsi="宋体" w:eastAsia="宋体" w:cs="宋体"/>
          <w:b/>
          <w:kern w:val="0"/>
          <w:sz w:val="24"/>
          <w:highlight w:val="none"/>
          <w:lang w:eastAsia="zh-CN"/>
        </w:rPr>
        <w:t>邀标文件</w:t>
      </w:r>
      <w:r>
        <w:rPr>
          <w:rFonts w:hint="eastAsia" w:ascii="宋体" w:hAnsi="宋体" w:eastAsia="宋体" w:cs="宋体"/>
          <w:b/>
          <w:kern w:val="0"/>
          <w:sz w:val="24"/>
          <w:highlight w:val="none"/>
        </w:rPr>
        <w:t>，以及招标人的澄清（答疑）、补充、修改等文件一律</w:t>
      </w:r>
      <w:r>
        <w:rPr>
          <w:rFonts w:hint="eastAsia" w:ascii="宋体" w:hAnsi="宋体" w:eastAsia="宋体" w:cs="宋体"/>
          <w:b/>
          <w:sz w:val="24"/>
          <w:highlight w:val="none"/>
        </w:rPr>
        <w:t>通过</w:t>
      </w:r>
      <w:r>
        <w:rPr>
          <w:rFonts w:hint="eastAsia" w:ascii="宋体" w:hAnsi="宋体" w:eastAsia="宋体" w:cs="宋体"/>
          <w:b/>
          <w:sz w:val="24"/>
          <w:highlight w:val="none"/>
          <w:lang w:eastAsia="zh-CN"/>
        </w:rPr>
        <w:t>佛山火炬创新创业园有限公司官网</w:t>
      </w:r>
      <w:r>
        <w:rPr>
          <w:rFonts w:hint="eastAsia" w:ascii="宋体" w:hAnsi="宋体" w:eastAsia="宋体" w:cs="宋体"/>
          <w:b/>
          <w:sz w:val="24"/>
          <w:highlight w:val="none"/>
        </w:rPr>
        <w:t>发布</w:t>
      </w:r>
      <w:r>
        <w:rPr>
          <w:rFonts w:hint="eastAsia" w:ascii="宋体" w:hAnsi="宋体" w:eastAsia="宋体" w:cs="宋体"/>
          <w:b/>
          <w:sz w:val="24"/>
          <w:highlight w:val="none"/>
          <w:lang w:val="en-US" w:eastAsia="zh-CN"/>
        </w:rPr>
        <w:t>或发至投标人邮箱</w:t>
      </w:r>
      <w:r>
        <w:rPr>
          <w:rFonts w:hint="eastAsia" w:ascii="宋体" w:hAnsi="宋体" w:eastAsia="宋体" w:cs="宋体"/>
          <w:b/>
          <w:sz w:val="24"/>
          <w:highlight w:val="none"/>
        </w:rPr>
        <w:t>。各投标人应随时关注，及时</w:t>
      </w:r>
      <w:r>
        <w:rPr>
          <w:rFonts w:hint="eastAsia" w:ascii="宋体" w:hAnsi="宋体" w:eastAsia="宋体" w:cs="宋体"/>
          <w:b/>
          <w:sz w:val="24"/>
          <w:highlight w:val="none"/>
          <w:lang w:eastAsia="zh-CN"/>
        </w:rPr>
        <w:t>留意佛山火炬创新创业园有限公司官网</w:t>
      </w:r>
      <w:r>
        <w:rPr>
          <w:rFonts w:hint="eastAsia" w:ascii="宋体" w:hAnsi="宋体" w:eastAsia="宋体" w:cs="宋体"/>
          <w:b/>
          <w:sz w:val="24"/>
          <w:highlight w:val="none"/>
        </w:rPr>
        <w:t>发布</w:t>
      </w:r>
      <w:r>
        <w:rPr>
          <w:rFonts w:hint="eastAsia" w:ascii="宋体" w:hAnsi="宋体" w:eastAsia="宋体" w:cs="宋体"/>
          <w:b/>
          <w:sz w:val="24"/>
          <w:highlight w:val="none"/>
          <w:lang w:eastAsia="zh-CN"/>
        </w:rPr>
        <w:t>的信息及文件</w:t>
      </w:r>
      <w:r>
        <w:rPr>
          <w:rFonts w:hint="eastAsia" w:ascii="宋体" w:hAnsi="宋体" w:eastAsia="宋体" w:cs="宋体"/>
          <w:b/>
          <w:sz w:val="24"/>
          <w:highlight w:val="none"/>
          <w:lang w:val="en-US" w:eastAsia="zh-CN"/>
        </w:rPr>
        <w:t>或邮箱</w:t>
      </w:r>
      <w:r>
        <w:rPr>
          <w:rFonts w:hint="eastAsia" w:ascii="宋体" w:hAnsi="宋体" w:eastAsia="宋体" w:cs="宋体"/>
          <w:b/>
          <w:sz w:val="24"/>
          <w:highlight w:val="none"/>
        </w:rPr>
        <w:t>，否则所造成的一切后果由投</w:t>
      </w:r>
      <w:r>
        <w:rPr>
          <w:rFonts w:hint="eastAsia" w:ascii="宋体" w:hAnsi="宋体" w:eastAsia="宋体" w:cs="宋体"/>
          <w:b/>
          <w:color w:val="000000"/>
          <w:sz w:val="24"/>
          <w:highlight w:val="none"/>
        </w:rPr>
        <w:t>标人自负。</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eastAsia="zh-CN"/>
        </w:rPr>
        <w:t>关于不再邀标或重新邀标</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baseline"/>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8.2.1至投标截止时间，参与本项目投标的人数达不到三家的，或通过初步评审的投标人不足三家的，招标人将重新组织招标。</w:t>
      </w: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宋体" w:hAnsi="宋体" w:eastAsia="宋体" w:cs="宋体"/>
          <w:color w:val="000000"/>
          <w:highlight w:val="none"/>
          <w:lang w:val="en-US" w:eastAsia="zh-CN"/>
        </w:rPr>
      </w:pPr>
      <w:r>
        <w:rPr>
          <w:rFonts w:hint="eastAsia" w:ascii="宋体" w:hAnsi="宋体" w:eastAsia="宋体" w:cs="宋体"/>
          <w:color w:val="000000"/>
          <w:kern w:val="0"/>
          <w:sz w:val="24"/>
          <w:highlight w:val="none"/>
          <w:lang w:val="en-US" w:eastAsia="zh-CN"/>
        </w:rPr>
        <w:t>8.2.2联系两次招标均失败的，招标人将不再组织项目招标。</w:t>
      </w:r>
    </w:p>
    <w:p>
      <w:pPr>
        <w:keepNext w:val="0"/>
        <w:keepLines w:val="0"/>
        <w:pageBreakBefore w:val="0"/>
        <w:widowControl w:val="0"/>
        <w:kinsoku/>
        <w:wordWrap/>
        <w:overflowPunct/>
        <w:topLinePunct w:val="0"/>
        <w:autoSpaceDE/>
        <w:autoSpaceDN/>
        <w:bidi w:val="0"/>
        <w:adjustRightInd/>
        <w:snapToGrid/>
        <w:spacing w:line="400" w:lineRule="exact"/>
        <w:ind w:left="425" w:hanging="424" w:hangingChars="177"/>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 xml:space="preserve"> 本次招标采用的评定标办法是</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sz w:val="24"/>
          <w:szCs w:val="24"/>
          <w:highlight w:val="none"/>
          <w:u w:val="single"/>
          <w:lang w:eastAsia="zh-CN"/>
        </w:rPr>
        <w:t>综合评分法</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sz w:val="28"/>
          <w:szCs w:val="28"/>
          <w:highlight w:val="none"/>
        </w:rPr>
      </w:pPr>
      <w:bookmarkStart w:id="37" w:name="_Toc19600"/>
      <w:r>
        <w:rPr>
          <w:rFonts w:hint="eastAsia"/>
          <w:b/>
          <w:bCs/>
          <w:sz w:val="28"/>
          <w:szCs w:val="28"/>
          <w:highlight w:val="none"/>
          <w:lang w:val="en-US" w:eastAsia="zh-CN"/>
        </w:rPr>
        <w:t>9</w:t>
      </w:r>
      <w:r>
        <w:rPr>
          <w:rFonts w:hint="eastAsia"/>
          <w:b/>
          <w:bCs/>
          <w:sz w:val="28"/>
          <w:szCs w:val="28"/>
          <w:highlight w:val="none"/>
        </w:rPr>
        <w:t>.联系方式</w:t>
      </w:r>
      <w:bookmarkEnd w:id="34"/>
      <w:bookmarkEnd w:id="35"/>
      <w:bookmarkEnd w:id="36"/>
      <w:bookmarkEnd w:id="37"/>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u w:val="single"/>
        </w:rPr>
      </w:pPr>
      <w:r>
        <w:rPr>
          <w:rFonts w:hint="eastAsia" w:ascii="宋体" w:hAnsi="宋体" w:cs="仿宋_GB2312"/>
          <w:sz w:val="24"/>
          <w:szCs w:val="24"/>
          <w:highlight w:val="none"/>
        </w:rPr>
        <w:t>招 标 人：</w:t>
      </w:r>
      <w:r>
        <w:rPr>
          <w:rFonts w:hint="eastAsia" w:ascii="宋体" w:hAnsi="宋体" w:cs="仿宋_GB2312"/>
          <w:sz w:val="24"/>
          <w:szCs w:val="24"/>
          <w:highlight w:val="none"/>
          <w:u w:val="single"/>
          <w:lang w:eastAsia="zh-CN"/>
        </w:rPr>
        <w:t>佛山火炬创新创业园有限公司</w:t>
      </w:r>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u w:val="single"/>
        </w:rPr>
      </w:pPr>
      <w:r>
        <w:rPr>
          <w:rFonts w:hint="eastAsia" w:ascii="宋体" w:hAnsi="宋体" w:cs="仿宋_GB2312"/>
          <w:sz w:val="24"/>
          <w:szCs w:val="24"/>
          <w:highlight w:val="none"/>
        </w:rPr>
        <w:t>地    址：</w:t>
      </w:r>
      <w:r>
        <w:rPr>
          <w:rFonts w:hint="eastAsia" w:ascii="宋体" w:hAnsi="宋体" w:cs="仿宋_GB2312"/>
          <w:sz w:val="24"/>
          <w:szCs w:val="24"/>
          <w:highlight w:val="none"/>
          <w:u w:val="single"/>
          <w:lang w:eastAsia="zh-CN"/>
        </w:rPr>
        <w:t>广东省佛山市禅城区华宝南路</w:t>
      </w:r>
      <w:r>
        <w:rPr>
          <w:rFonts w:hint="eastAsia" w:ascii="宋体" w:hAnsi="宋体" w:cs="仿宋_GB2312"/>
          <w:sz w:val="24"/>
          <w:szCs w:val="24"/>
          <w:highlight w:val="none"/>
          <w:u w:val="single"/>
          <w:lang w:val="en-US" w:eastAsia="zh-CN"/>
        </w:rPr>
        <w:t>13号</w:t>
      </w:r>
      <w:r>
        <w:rPr>
          <w:rFonts w:hint="eastAsia" w:ascii="宋体" w:hAnsi="宋体" w:cs="仿宋_GB2312"/>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rPr>
      </w:pPr>
      <w:r>
        <w:rPr>
          <w:rFonts w:hint="eastAsia" w:ascii="宋体" w:hAnsi="宋体" w:cs="仿宋_GB2312"/>
          <w:sz w:val="24"/>
          <w:szCs w:val="24"/>
          <w:highlight w:val="none"/>
        </w:rPr>
        <w:t>邮    编：</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528000 </w:t>
      </w:r>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rPr>
      </w:pPr>
      <w:r>
        <w:rPr>
          <w:rFonts w:hint="eastAsia" w:ascii="宋体" w:hAnsi="宋体" w:cs="仿宋_GB2312"/>
          <w:sz w:val="24"/>
          <w:szCs w:val="24"/>
          <w:highlight w:val="none"/>
        </w:rPr>
        <w:t>联 系 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eastAsia="zh-CN"/>
        </w:rPr>
        <w:t>谢生</w:t>
      </w:r>
      <w:r>
        <w:rPr>
          <w:rFonts w:hint="eastAsia" w:ascii="宋体" w:hAnsi="宋体" w:cs="仿宋_GB2312"/>
          <w:sz w:val="24"/>
          <w:szCs w:val="24"/>
          <w:highlight w:val="none"/>
          <w:u w:val="single"/>
          <w:lang w:val="en-US" w:eastAsia="zh-CN"/>
        </w:rPr>
        <w:t xml:space="preserve"> 、洪生</w:t>
      </w:r>
      <w:r>
        <w:rPr>
          <w:rFonts w:hint="eastAsia" w:ascii="宋体" w:hAnsi="宋体" w:cs="仿宋_GB2312"/>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rPr>
      </w:pPr>
      <w:r>
        <w:rPr>
          <w:rFonts w:hint="eastAsia" w:ascii="宋体" w:hAnsi="宋体" w:cs="仿宋_GB2312"/>
          <w:sz w:val="24"/>
          <w:szCs w:val="24"/>
          <w:highlight w:val="none"/>
        </w:rPr>
        <w:t>电    话：</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0757—82109663  </w:t>
      </w:r>
    </w:p>
    <w:p>
      <w:pPr>
        <w:pStyle w:val="10"/>
        <w:keepNext w:val="0"/>
        <w:keepLines w:val="0"/>
        <w:pageBreakBefore w:val="0"/>
        <w:widowControl w:val="0"/>
        <w:kinsoku/>
        <w:wordWrap/>
        <w:overflowPunct/>
        <w:topLinePunct w:val="0"/>
        <w:autoSpaceDE/>
        <w:autoSpaceDN/>
        <w:bidi w:val="0"/>
        <w:adjustRightInd/>
        <w:snapToGrid/>
        <w:spacing w:line="400" w:lineRule="exact"/>
        <w:ind w:firstLine="437"/>
        <w:rPr>
          <w:rFonts w:hint="eastAsia" w:ascii="宋体" w:hAnsi="宋体" w:cs="仿宋_GB2312"/>
          <w:sz w:val="24"/>
          <w:szCs w:val="24"/>
          <w:highlight w:val="none"/>
        </w:rPr>
      </w:pPr>
      <w:r>
        <w:rPr>
          <w:rFonts w:hint="eastAsia" w:ascii="宋体" w:hAnsi="宋体" w:cs="仿宋_GB2312"/>
          <w:sz w:val="24"/>
          <w:szCs w:val="24"/>
          <w:highlight w:val="none"/>
        </w:rPr>
        <w:t>电子邮件：</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fshjcxcyy@163.com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 xml:space="preserve">  </w:t>
      </w:r>
    </w:p>
    <w:p>
      <w:pPr>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仿宋_GB2312"/>
          <w:sz w:val="24"/>
          <w:szCs w:val="24"/>
          <w:highlight w:val="none"/>
          <w:u w:val="single"/>
        </w:rPr>
      </w:pPr>
    </w:p>
    <w:p>
      <w:pPr>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仿宋_GB2312"/>
          <w:sz w:val="24"/>
          <w:szCs w:val="24"/>
          <w:highlight w:val="none"/>
          <w:u w:val="single"/>
        </w:rPr>
      </w:pPr>
    </w:p>
    <w:p>
      <w:pPr>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Style w:val="4"/>
        <w:rPr>
          <w:rFonts w:hint="eastAsia" w:ascii="宋体" w:hAnsi="宋体" w:cs="仿宋_GB2312"/>
          <w:sz w:val="24"/>
          <w:szCs w:val="24"/>
          <w:highlight w:val="none"/>
          <w:u w:val="single"/>
        </w:rPr>
      </w:pPr>
    </w:p>
    <w:p>
      <w:pPr>
        <w:pageBreakBefore w:val="0"/>
        <w:widowControl w:val="0"/>
        <w:kinsoku/>
        <w:wordWrap/>
        <w:overflowPunct/>
        <w:topLinePunct w:val="0"/>
        <w:autoSpaceDE/>
        <w:autoSpaceDN/>
        <w:bidi w:val="0"/>
        <w:adjustRightInd/>
        <w:snapToGrid/>
        <w:spacing w:line="400" w:lineRule="exact"/>
        <w:ind w:firstLine="480" w:firstLineChars="200"/>
        <w:jc w:val="center"/>
        <w:rPr>
          <w:rFonts w:hint="eastAsia" w:ascii="宋体" w:hAnsi="宋体" w:eastAsia="宋体" w:cs="仿宋_GB2312"/>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仿宋_GB2312"/>
          <w:sz w:val="24"/>
          <w:szCs w:val="24"/>
          <w:highlight w:val="none"/>
        </w:rPr>
      </w:pP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2024</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年</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3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月</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20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59932181"/>
    <w:rsid w:val="5993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First Indent"/>
    <w:basedOn w:val="1"/>
    <w:qFormat/>
    <w:uiPriority w:val="0"/>
    <w:pPr>
      <w:ind w:firstLine="420" w:firstLineChars="100"/>
    </w:pPr>
  </w:style>
  <w:style w:type="paragraph" w:customStyle="1" w:styleId="7">
    <w:name w:val="标题 2_0"/>
    <w:basedOn w:val="8"/>
    <w:next w:val="8"/>
    <w:qFormat/>
    <w:uiPriority w:val="0"/>
    <w:pPr>
      <w:keepNext/>
      <w:keepLines/>
      <w:spacing w:line="416" w:lineRule="auto"/>
      <w:outlineLvl w:val="1"/>
    </w:pPr>
    <w:rPr>
      <w:rFonts w:ascii="Cambria" w:hAnsi="Cambria"/>
      <w:b/>
      <w:bCs/>
      <w:sz w:val="32"/>
      <w:szCs w:val="32"/>
    </w:rPr>
  </w:style>
  <w:style w:type="paragraph" w:customStyle="1" w:styleId="8">
    <w:name w:val="正文_7"/>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p0"/>
    <w:basedOn w:val="1"/>
    <w:uiPriority w:val="0"/>
    <w:pPr>
      <w:widowControl/>
    </w:pPr>
    <w:rPr>
      <w:kern w:val="0"/>
      <w:szCs w:val="21"/>
    </w:rPr>
  </w:style>
  <w:style w:type="paragraph" w:customStyle="1" w:styleId="11">
    <w:name w:val="p0_0"/>
    <w:basedOn w:val="8"/>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2024-03-21T01:32:00Z</dcterms:created>
  <dc:creator>Fan</dc:creator>
  <cp:lastModifiedBy>Fan</cp:lastModifiedBy>
  <dcterms:modified xsi:type="dcterms:W3CDTF">2024-03-21T01:34:14Z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39B8EC2FB4DB4600888BE7FF2C3D2445_11</vt:lpwstr>
  </property>
</Properties>
</file>