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
          <w:bCs/>
          <w:color w:val="000000"/>
          <w:sz w:val="28"/>
          <w:szCs w:val="28"/>
          <w:lang w:eastAsia="zh-CN"/>
        </w:rPr>
      </w:pPr>
      <w:r>
        <w:rPr>
          <w:rFonts w:hint="eastAsia" w:ascii="Times New Roman" w:hAnsi="Times New Roman" w:eastAsia="黑体" w:cs="Times New Roman"/>
          <w:b/>
          <w:bCs/>
          <w:color w:val="000000"/>
          <w:sz w:val="28"/>
          <w:szCs w:val="28"/>
          <w:lang w:eastAsia="zh-CN"/>
        </w:rPr>
        <w:t>甲方</w:t>
      </w:r>
      <w:r>
        <w:rPr>
          <w:rFonts w:ascii="Times New Roman" w:hAnsi="Times New Roman" w:eastAsia="黑体" w:cs="Times New Roman"/>
          <w:b/>
          <w:bCs/>
          <w:color w:val="000000"/>
          <w:sz w:val="28"/>
          <w:szCs w:val="28"/>
          <w:lang w:eastAsia="zh-CN"/>
        </w:rPr>
        <w:t>合同编号：</w:t>
      </w:r>
    </w:p>
    <w:p>
      <w:pPr>
        <w:rPr>
          <w:rFonts w:eastAsia="黑体"/>
          <w:sz w:val="28"/>
          <w:szCs w:val="28"/>
          <w:lang w:eastAsia="zh-CN"/>
        </w:rPr>
      </w:pPr>
      <w:r>
        <w:rPr>
          <w:rFonts w:hint="eastAsia" w:ascii="Times New Roman" w:hAnsi="Times New Roman" w:eastAsia="黑体" w:cs="Times New Roman"/>
          <w:b/>
          <w:bCs/>
          <w:color w:val="000000"/>
          <w:sz w:val="28"/>
          <w:szCs w:val="28"/>
          <w:lang w:eastAsia="zh-CN"/>
        </w:rPr>
        <w:t>乙方合同编号：</w:t>
      </w:r>
    </w:p>
    <w:p>
      <w:pPr>
        <w:pStyle w:val="5"/>
        <w:ind w:left="0"/>
        <w:rPr>
          <w:sz w:val="30"/>
          <w:lang w:eastAsia="zh-CN"/>
        </w:rPr>
      </w:pPr>
    </w:p>
    <w:p>
      <w:pPr>
        <w:pStyle w:val="5"/>
        <w:ind w:left="0"/>
        <w:rPr>
          <w:sz w:val="30"/>
          <w:lang w:eastAsia="zh-CN"/>
        </w:rPr>
      </w:pPr>
    </w:p>
    <w:p>
      <w:pPr>
        <w:pStyle w:val="5"/>
        <w:ind w:left="0"/>
        <w:rPr>
          <w:sz w:val="30"/>
          <w:lang w:eastAsia="zh-CN"/>
        </w:rPr>
      </w:pPr>
    </w:p>
    <w:p>
      <w:pPr>
        <w:spacing w:before="257"/>
        <w:ind w:left="2362"/>
        <w:rPr>
          <w:rFonts w:ascii="黑体" w:eastAsia="黑体"/>
          <w:b/>
          <w:sz w:val="44"/>
          <w:lang w:eastAsia="zh-CN"/>
        </w:rPr>
      </w:pPr>
      <w:r>
        <w:rPr>
          <w:rFonts w:hint="eastAsia" w:ascii="Times New Roman"/>
          <w:b/>
          <w:spacing w:val="17"/>
          <w:sz w:val="44"/>
          <w:lang w:eastAsia="zh-CN"/>
        </w:rPr>
        <w:t>2023</w:t>
      </w:r>
      <w:r>
        <w:rPr>
          <w:rFonts w:hint="eastAsia" w:ascii="黑体" w:eastAsia="黑体"/>
          <w:b/>
          <w:spacing w:val="-68"/>
          <w:sz w:val="44"/>
          <w:lang w:eastAsia="zh-CN"/>
        </w:rPr>
        <w:t>年 广 东 电 力 市 场</w:t>
      </w:r>
    </w:p>
    <w:p>
      <w:pPr>
        <w:pStyle w:val="5"/>
        <w:spacing w:before="7"/>
        <w:ind w:left="0"/>
        <w:rPr>
          <w:rFonts w:ascii="黑体"/>
          <w:b/>
          <w:sz w:val="51"/>
          <w:lang w:eastAsia="zh-CN"/>
        </w:rPr>
      </w:pPr>
    </w:p>
    <w:p>
      <w:pPr>
        <w:spacing w:line="477" w:lineRule="auto"/>
        <w:ind w:left="1380" w:right="1485"/>
        <w:jc w:val="center"/>
        <w:rPr>
          <w:rFonts w:ascii="黑体" w:eastAsia="黑体"/>
          <w:b/>
          <w:sz w:val="44"/>
          <w:lang w:eastAsia="zh-CN"/>
        </w:rPr>
      </w:pPr>
      <w:r>
        <w:rPr>
          <w:rFonts w:hint="eastAsia" w:ascii="黑体" w:eastAsia="黑体"/>
          <w:b/>
          <w:spacing w:val="-74"/>
          <w:sz w:val="44"/>
          <w:lang w:eastAsia="zh-CN"/>
        </w:rPr>
        <w:t>售 电 公 司 与 电 力 用 户 零 售 交 易</w:t>
      </w:r>
      <w:r>
        <w:rPr>
          <w:rFonts w:hint="eastAsia" w:ascii="黑体" w:eastAsia="黑体"/>
          <w:b/>
          <w:spacing w:val="-81"/>
          <w:sz w:val="44"/>
          <w:lang w:eastAsia="zh-CN"/>
        </w:rPr>
        <w:t xml:space="preserve">合 同 </w:t>
      </w:r>
    </w:p>
    <w:p>
      <w:pPr>
        <w:pStyle w:val="5"/>
        <w:ind w:left="0"/>
        <w:rPr>
          <w:rFonts w:ascii="黑体"/>
          <w:b/>
          <w:sz w:val="44"/>
          <w:lang w:eastAsia="zh-CN"/>
        </w:rPr>
      </w:pPr>
    </w:p>
    <w:p>
      <w:pPr>
        <w:pStyle w:val="5"/>
        <w:ind w:left="0"/>
        <w:rPr>
          <w:rFonts w:ascii="黑体"/>
          <w:b/>
          <w:sz w:val="44"/>
          <w:lang w:eastAsia="zh-CN"/>
        </w:rPr>
      </w:pPr>
    </w:p>
    <w:p>
      <w:pPr>
        <w:pStyle w:val="5"/>
        <w:ind w:left="0"/>
        <w:rPr>
          <w:rFonts w:ascii="黑体"/>
          <w:b/>
          <w:sz w:val="44"/>
          <w:lang w:eastAsia="zh-CN"/>
        </w:rPr>
      </w:pPr>
    </w:p>
    <w:p>
      <w:pPr>
        <w:pStyle w:val="5"/>
        <w:ind w:left="0"/>
        <w:rPr>
          <w:rFonts w:ascii="黑体"/>
          <w:b/>
          <w:sz w:val="44"/>
          <w:lang w:eastAsia="zh-CN"/>
        </w:rPr>
      </w:pPr>
    </w:p>
    <w:p>
      <w:pPr>
        <w:pStyle w:val="5"/>
        <w:ind w:left="0"/>
        <w:rPr>
          <w:rFonts w:ascii="黑体"/>
          <w:b/>
          <w:sz w:val="44"/>
          <w:lang w:eastAsia="zh-CN"/>
        </w:rPr>
      </w:pPr>
    </w:p>
    <w:p>
      <w:pPr>
        <w:pStyle w:val="5"/>
        <w:ind w:left="0"/>
        <w:rPr>
          <w:rFonts w:ascii="黑体"/>
          <w:b/>
          <w:sz w:val="44"/>
          <w:lang w:eastAsia="zh-CN"/>
        </w:rPr>
      </w:pPr>
    </w:p>
    <w:p>
      <w:pPr>
        <w:pStyle w:val="5"/>
        <w:spacing w:before="8"/>
        <w:ind w:left="0"/>
        <w:rPr>
          <w:rFonts w:ascii="黑体"/>
          <w:b/>
          <w:sz w:val="54"/>
          <w:lang w:eastAsia="zh-CN"/>
        </w:rPr>
      </w:pPr>
    </w:p>
    <w:p>
      <w:pPr>
        <w:tabs>
          <w:tab w:val="left" w:pos="5949"/>
        </w:tabs>
        <w:ind w:right="133" w:firstLine="1380" w:firstLineChars="500"/>
        <w:rPr>
          <w:rFonts w:hint="eastAsia" w:ascii="Times New Roman" w:eastAsiaTheme="minorEastAsia"/>
          <w:sz w:val="28"/>
          <w:lang w:eastAsia="zh-CN"/>
        </w:rPr>
      </w:pPr>
      <w:r>
        <w:rPr>
          <w:rFonts w:hint="eastAsia" w:ascii="黑体" w:eastAsia="黑体"/>
          <w:spacing w:val="-2"/>
          <w:sz w:val="28"/>
          <w:lang w:eastAsia="zh-CN"/>
        </w:rPr>
        <w:t>甲</w:t>
      </w:r>
      <w:r>
        <w:rPr>
          <w:rFonts w:hint="eastAsia" w:ascii="黑体" w:eastAsia="黑体"/>
          <w:spacing w:val="-3"/>
          <w:sz w:val="28"/>
          <w:lang w:eastAsia="zh-CN"/>
        </w:rPr>
        <w:t>方</w:t>
      </w:r>
      <w:r>
        <w:rPr>
          <w:rFonts w:hint="eastAsia" w:ascii="黑体" w:eastAsia="黑体"/>
          <w:spacing w:val="-2"/>
          <w:sz w:val="28"/>
          <w:lang w:eastAsia="zh-CN"/>
        </w:rPr>
        <w:t>（</w:t>
      </w:r>
      <w:r>
        <w:rPr>
          <w:rFonts w:hint="eastAsia" w:ascii="黑体" w:eastAsia="黑体"/>
          <w:spacing w:val="-1"/>
          <w:sz w:val="28"/>
          <w:lang w:eastAsia="zh-CN"/>
        </w:rPr>
        <w:t>电</w:t>
      </w:r>
      <w:r>
        <w:rPr>
          <w:rFonts w:hint="eastAsia" w:ascii="黑体" w:eastAsia="黑体"/>
          <w:spacing w:val="-3"/>
          <w:sz w:val="28"/>
          <w:lang w:eastAsia="zh-CN"/>
        </w:rPr>
        <w:t>力</w:t>
      </w:r>
      <w:r>
        <w:rPr>
          <w:rFonts w:hint="eastAsia" w:ascii="黑体" w:eastAsia="黑体"/>
          <w:spacing w:val="-1"/>
          <w:sz w:val="28"/>
          <w:lang w:eastAsia="zh-CN"/>
        </w:rPr>
        <w:t>用户）：</w:t>
      </w:r>
      <w:r>
        <w:rPr>
          <w:rFonts w:ascii="Times New Roman" w:eastAsia="Times New Roman"/>
          <w:sz w:val="28"/>
          <w:u w:val="thick"/>
          <w:lang w:eastAsia="zh-CN"/>
        </w:rPr>
        <w:t xml:space="preserve"> </w:t>
      </w:r>
      <w:r>
        <w:rPr>
          <w:rFonts w:hint="eastAsia" w:ascii="Times New Roman" w:eastAsiaTheme="minorEastAsia"/>
          <w:sz w:val="28"/>
          <w:u w:val="thick"/>
          <w:lang w:eastAsia="zh-CN"/>
        </w:rPr>
        <w:t xml:space="preserve">                                                           </w:t>
      </w:r>
    </w:p>
    <w:p>
      <w:pPr>
        <w:pStyle w:val="5"/>
        <w:ind w:left="0"/>
        <w:rPr>
          <w:rFonts w:ascii="Times New Roman"/>
          <w:sz w:val="20"/>
          <w:lang w:eastAsia="zh-CN"/>
        </w:rPr>
      </w:pPr>
    </w:p>
    <w:p>
      <w:pPr>
        <w:pStyle w:val="5"/>
        <w:ind w:left="0"/>
        <w:rPr>
          <w:rFonts w:ascii="Times New Roman"/>
          <w:sz w:val="24"/>
          <w:lang w:eastAsia="zh-CN"/>
        </w:rPr>
      </w:pPr>
    </w:p>
    <w:p>
      <w:pPr>
        <w:tabs>
          <w:tab w:val="left" w:pos="7689"/>
        </w:tabs>
        <w:spacing w:before="71"/>
        <w:ind w:firstLine="1380" w:firstLineChars="500"/>
        <w:rPr>
          <w:rFonts w:ascii="Times New Roman" w:eastAsiaTheme="minorEastAsia"/>
          <w:sz w:val="28"/>
          <w:lang w:eastAsia="zh-CN"/>
        </w:rPr>
      </w:pPr>
      <w:r>
        <w:rPr>
          <w:rFonts w:hint="eastAsia" w:ascii="黑体" w:eastAsia="黑体"/>
          <w:spacing w:val="-2"/>
          <w:sz w:val="28"/>
          <w:lang w:eastAsia="zh-CN"/>
        </w:rPr>
        <w:t>乙</w:t>
      </w:r>
      <w:r>
        <w:rPr>
          <w:rFonts w:hint="eastAsia" w:ascii="黑体" w:eastAsia="黑体"/>
          <w:spacing w:val="-3"/>
          <w:sz w:val="28"/>
          <w:lang w:eastAsia="zh-CN"/>
        </w:rPr>
        <w:t>方</w:t>
      </w:r>
      <w:r>
        <w:rPr>
          <w:rFonts w:hint="eastAsia" w:ascii="黑体" w:eastAsia="黑体"/>
          <w:spacing w:val="-2"/>
          <w:sz w:val="28"/>
          <w:lang w:eastAsia="zh-CN"/>
        </w:rPr>
        <w:t>（</w:t>
      </w:r>
      <w:r>
        <w:rPr>
          <w:rFonts w:hint="eastAsia" w:ascii="黑体" w:eastAsia="黑体"/>
          <w:spacing w:val="-1"/>
          <w:sz w:val="28"/>
          <w:lang w:eastAsia="zh-CN"/>
        </w:rPr>
        <w:t>售</w:t>
      </w:r>
      <w:r>
        <w:rPr>
          <w:rFonts w:hint="eastAsia" w:ascii="黑体" w:eastAsia="黑体"/>
          <w:spacing w:val="-3"/>
          <w:sz w:val="28"/>
          <w:lang w:eastAsia="zh-CN"/>
        </w:rPr>
        <w:t>电</w:t>
      </w:r>
      <w:r>
        <w:rPr>
          <w:rFonts w:hint="eastAsia" w:ascii="黑体" w:eastAsia="黑体"/>
          <w:spacing w:val="-1"/>
          <w:sz w:val="28"/>
          <w:lang w:eastAsia="zh-CN"/>
        </w:rPr>
        <w:t>公司）：</w:t>
      </w:r>
      <w:r>
        <w:rPr>
          <w:rFonts w:hint="eastAsia" w:ascii="Times New Roman" w:eastAsiaTheme="minorEastAsia"/>
          <w:sz w:val="28"/>
          <w:u w:val="thick"/>
          <w:lang w:eastAsia="zh-CN"/>
        </w:rPr>
        <w:t xml:space="preserve"> </w:t>
      </w:r>
      <w:r>
        <w:rPr>
          <w:rFonts w:ascii="Times New Roman" w:eastAsiaTheme="minorEastAsia"/>
          <w:sz w:val="28"/>
          <w:u w:val="thick"/>
          <w:lang w:eastAsia="zh-CN"/>
        </w:rPr>
        <w:t xml:space="preserve"> </w:t>
      </w:r>
      <w:r>
        <w:rPr>
          <w:rFonts w:hint="eastAsia" w:ascii="Times New Roman" w:eastAsiaTheme="minorEastAsia"/>
          <w:sz w:val="28"/>
          <w:u w:val="thick"/>
          <w:lang w:eastAsia="zh-CN"/>
        </w:rPr>
        <w:t xml:space="preserve">                                                </w:t>
      </w:r>
      <w:r>
        <w:rPr>
          <w:rFonts w:ascii="Times New Roman" w:eastAsiaTheme="minorEastAsia"/>
          <w:sz w:val="28"/>
          <w:u w:val="thick"/>
          <w:lang w:eastAsia="zh-CN"/>
        </w:rPr>
        <w:t xml:space="preserve">          </w:t>
      </w:r>
    </w:p>
    <w:p>
      <w:pPr>
        <w:pStyle w:val="5"/>
        <w:ind w:left="0"/>
        <w:rPr>
          <w:rFonts w:ascii="Times New Roman"/>
          <w:sz w:val="20"/>
          <w:lang w:eastAsia="zh-CN"/>
        </w:rPr>
      </w:pPr>
    </w:p>
    <w:p>
      <w:pPr>
        <w:pStyle w:val="5"/>
        <w:ind w:left="0"/>
        <w:rPr>
          <w:rFonts w:ascii="Times New Roman"/>
          <w:sz w:val="20"/>
          <w:lang w:eastAsia="zh-CN"/>
        </w:rPr>
      </w:pPr>
    </w:p>
    <w:p>
      <w:pPr>
        <w:pStyle w:val="5"/>
        <w:ind w:left="0"/>
        <w:rPr>
          <w:rFonts w:ascii="Times New Roman"/>
          <w:sz w:val="20"/>
          <w:lang w:eastAsia="zh-CN"/>
        </w:rPr>
      </w:pPr>
    </w:p>
    <w:p>
      <w:pPr>
        <w:pStyle w:val="5"/>
        <w:ind w:left="0"/>
        <w:rPr>
          <w:rFonts w:ascii="Times New Roman"/>
          <w:sz w:val="20"/>
          <w:lang w:eastAsia="zh-CN"/>
        </w:rPr>
      </w:pPr>
    </w:p>
    <w:p>
      <w:pPr>
        <w:pStyle w:val="5"/>
        <w:spacing w:before="5"/>
        <w:ind w:left="0"/>
        <w:rPr>
          <w:rFonts w:ascii="Times New Roman"/>
          <w:sz w:val="16"/>
          <w:lang w:eastAsia="zh-CN"/>
        </w:rPr>
      </w:pPr>
    </w:p>
    <w:p>
      <w:pPr>
        <w:tabs>
          <w:tab w:val="left" w:pos="1101"/>
          <w:tab w:val="left" w:pos="2361"/>
        </w:tabs>
        <w:spacing w:before="61"/>
        <w:ind w:left="122"/>
        <w:jc w:val="center"/>
        <w:rPr>
          <w:rFonts w:ascii="黑体" w:eastAsia="黑体"/>
          <w:sz w:val="28"/>
          <w:lang w:eastAsia="zh-CN"/>
        </w:rPr>
      </w:pPr>
      <w:r>
        <w:rPr>
          <w:rFonts w:ascii="Times New Roman" w:eastAsia="Times New Roman"/>
          <w:sz w:val="28"/>
          <w:u w:val="thick"/>
          <w:lang w:eastAsia="zh-CN"/>
        </w:rPr>
        <w:t xml:space="preserve">  </w:t>
      </w:r>
      <w:r>
        <w:rPr>
          <w:rFonts w:ascii="Times New Roman" w:eastAsia="Times New Roman"/>
          <w:sz w:val="28"/>
          <w:u w:val="thick"/>
          <w:lang w:eastAsia="zh-CN"/>
        </w:rPr>
        <w:tab/>
      </w:r>
      <w:r>
        <w:rPr>
          <w:rFonts w:hint="eastAsia" w:ascii="黑体" w:eastAsia="黑体"/>
          <w:sz w:val="28"/>
          <w:lang w:eastAsia="zh-CN"/>
        </w:rPr>
        <w:t>年</w:t>
      </w:r>
      <w:r>
        <w:rPr>
          <w:rFonts w:hint="eastAsia" w:ascii="黑体" w:eastAsia="黑体"/>
          <w:sz w:val="28"/>
          <w:u w:val="thick"/>
          <w:lang w:eastAsia="zh-CN"/>
        </w:rPr>
        <w:t xml:space="preserve"> </w:t>
      </w:r>
      <w:r>
        <w:rPr>
          <w:rFonts w:ascii="黑体" w:eastAsia="黑体"/>
          <w:sz w:val="28"/>
          <w:u w:val="thick"/>
          <w:lang w:eastAsia="zh-CN"/>
        </w:rPr>
        <w:t xml:space="preserve"> </w:t>
      </w:r>
      <w:r>
        <w:rPr>
          <w:rFonts w:hint="eastAsia" w:ascii="黑体" w:eastAsia="黑体"/>
          <w:sz w:val="28"/>
          <w:u w:val="thick"/>
          <w:lang w:eastAsia="zh-CN"/>
        </w:rPr>
        <w:t xml:space="preserve"> </w:t>
      </w:r>
      <w:r>
        <w:rPr>
          <w:rFonts w:hint="eastAsia" w:ascii="黑体" w:eastAsia="黑体"/>
          <w:sz w:val="28"/>
          <w:lang w:eastAsia="zh-CN"/>
        </w:rPr>
        <w:t>月</w:t>
      </w:r>
    </w:p>
    <w:p>
      <w:pPr>
        <w:jc w:val="center"/>
        <w:rPr>
          <w:rFonts w:ascii="黑体" w:eastAsia="黑体"/>
          <w:sz w:val="28"/>
          <w:lang w:eastAsia="zh-CN"/>
        </w:rPr>
        <w:sectPr>
          <w:footerReference r:id="rId3" w:type="default"/>
          <w:type w:val="continuous"/>
          <w:pgSz w:w="11910" w:h="16840"/>
          <w:pgMar w:top="1440" w:right="1160" w:bottom="1180" w:left="1180" w:header="720" w:footer="981" w:gutter="0"/>
          <w:pgNumType w:start="1"/>
          <w:cols w:space="720" w:num="1"/>
        </w:sectPr>
      </w:pPr>
    </w:p>
    <w:p>
      <w:pPr>
        <w:pStyle w:val="4"/>
        <w:spacing w:before="30" w:line="240" w:lineRule="auto"/>
        <w:ind w:left="4128"/>
        <w:rPr>
          <w:lang w:eastAsia="zh-CN"/>
        </w:rPr>
      </w:pPr>
      <w:bookmarkStart w:id="0" w:name="使用说明"/>
      <w:bookmarkEnd w:id="0"/>
      <w:r>
        <w:rPr>
          <w:lang w:eastAsia="zh-CN"/>
        </w:rPr>
        <w:t>使用说明</w:t>
      </w:r>
    </w:p>
    <w:p>
      <w:pPr>
        <w:pStyle w:val="5"/>
        <w:spacing w:before="235" w:line="326" w:lineRule="auto"/>
        <w:ind w:right="640" w:firstLine="640"/>
        <w:jc w:val="both"/>
        <w:rPr>
          <w:lang w:eastAsia="zh-CN"/>
        </w:rPr>
      </w:pPr>
      <w:r>
        <w:rPr>
          <w:w w:val="95"/>
          <w:lang w:eastAsia="zh-CN"/>
        </w:rPr>
        <w:t xml:space="preserve">一、本范本适用于售电公司与电力用户在广东电力市场 </w:t>
      </w:r>
      <w:r>
        <w:rPr>
          <w:spacing w:val="-2"/>
          <w:w w:val="95"/>
          <w:lang w:eastAsia="zh-CN"/>
        </w:rPr>
        <w:t>开展的零售交易及结算，范本明确了双方的权利义务、零售</w:t>
      </w:r>
      <w:r>
        <w:rPr>
          <w:spacing w:val="-2"/>
          <w:lang w:eastAsia="zh-CN"/>
        </w:rPr>
        <w:t>结算模式以及合同变更解除等条款。</w:t>
      </w:r>
    </w:p>
    <w:p>
      <w:pPr>
        <w:pStyle w:val="5"/>
        <w:spacing w:before="8" w:line="328" w:lineRule="auto"/>
        <w:ind w:right="637" w:firstLine="640"/>
        <w:jc w:val="both"/>
        <w:rPr>
          <w:lang w:eastAsia="zh-CN"/>
        </w:rPr>
      </w:pPr>
      <w:r>
        <w:rPr>
          <w:w w:val="95"/>
          <w:lang w:eastAsia="zh-CN"/>
        </w:rPr>
        <w:t xml:space="preserve">二、售电公司与零售用户在交易系统中按照本范本签订 </w:t>
      </w:r>
      <w:r>
        <w:rPr>
          <w:spacing w:val="-3"/>
          <w:lang w:eastAsia="zh-CN"/>
        </w:rPr>
        <w:t>电子合同，双方遵循交易系统流程确认合同内容并加盖电子</w:t>
      </w:r>
      <w:r>
        <w:rPr>
          <w:spacing w:val="-5"/>
          <w:w w:val="95"/>
          <w:lang w:eastAsia="zh-CN"/>
        </w:rPr>
        <w:t>印章后合同生效，并自动完成零售合同登记备案。广东电力交易中心将以双方在交易系统签订的电子合同为依据开展零</w:t>
      </w:r>
      <w:r>
        <w:rPr>
          <w:spacing w:val="-5"/>
          <w:lang w:eastAsia="zh-CN"/>
        </w:rPr>
        <w:t>售市场月度结算。</w:t>
      </w:r>
    </w:p>
    <w:p>
      <w:pPr>
        <w:pStyle w:val="5"/>
        <w:spacing w:before="8" w:line="328" w:lineRule="auto"/>
        <w:ind w:right="637" w:firstLine="640"/>
        <w:jc w:val="both"/>
        <w:rPr>
          <w:w w:val="95"/>
          <w:lang w:eastAsia="zh-CN"/>
        </w:rPr>
      </w:pPr>
      <w:r>
        <w:rPr>
          <w:w w:val="95"/>
          <w:lang w:eastAsia="zh-CN"/>
        </w:rPr>
        <w:t>三、本范本第六章电能量零售结算、第七章绿电零售结算（可选）的合同内容，是由合同双方根据交易系统提供的 量、价、率等字段组合生成零售结算模式，再自动生成附表 和合同条款，并同步在交易系统固化。</w:t>
      </w:r>
    </w:p>
    <w:p>
      <w:pPr>
        <w:pStyle w:val="5"/>
        <w:spacing w:before="8" w:line="328" w:lineRule="auto"/>
        <w:ind w:right="637" w:firstLine="640"/>
        <w:jc w:val="both"/>
        <w:rPr>
          <w:w w:val="95"/>
          <w:lang w:eastAsia="zh-CN"/>
        </w:rPr>
      </w:pPr>
      <w:r>
        <w:rPr>
          <w:w w:val="95"/>
          <w:lang w:eastAsia="zh-CN"/>
        </w:rPr>
        <w:t xml:space="preserve">四、在实施过程中，广东电力交易中心会根据市场实际 需求优化调整零售结算模式，最大程度满足零售市场需求。 </w:t>
      </w:r>
    </w:p>
    <w:p>
      <w:pPr>
        <w:pStyle w:val="5"/>
        <w:spacing w:before="8" w:line="328" w:lineRule="auto"/>
        <w:ind w:right="637" w:firstLine="640"/>
        <w:jc w:val="both"/>
        <w:rPr>
          <w:lang w:eastAsia="zh-CN"/>
        </w:rPr>
      </w:pPr>
      <w:r>
        <w:rPr>
          <w:w w:val="95"/>
          <w:lang w:eastAsia="zh-CN"/>
        </w:rPr>
        <w:t>五、本合同范本仅支持合同双方约定的零售电费结算，包括电能量及绿电零售结算（可选），不含需求响应零售结 算。若涉及其他需资金结算的增值服务，由合同双方另行签 订服务合同，并自主开展结算。</w:t>
      </w:r>
    </w:p>
    <w:p>
      <w:pPr>
        <w:pStyle w:val="5"/>
        <w:spacing w:before="8" w:line="328" w:lineRule="auto"/>
        <w:ind w:right="637" w:firstLine="640"/>
        <w:jc w:val="both"/>
        <w:rPr>
          <w:w w:val="95"/>
          <w:lang w:eastAsia="zh-CN"/>
        </w:rPr>
      </w:pPr>
      <w:r>
        <w:rPr>
          <w:w w:val="95"/>
          <w:lang w:eastAsia="zh-CN"/>
        </w:rPr>
        <w:t>六、对于上述使用说明的内容，合同双方均已认真阅读、 完全理解并同意，合同双方协商一致使用该合同范本，即视为知悉并同意上述使用说明的全部内容。</w:t>
      </w:r>
    </w:p>
    <w:p>
      <w:pPr>
        <w:spacing w:line="326" w:lineRule="auto"/>
        <w:jc w:val="both"/>
        <w:rPr>
          <w:lang w:eastAsia="zh-CN"/>
        </w:rPr>
        <w:sectPr>
          <w:pgSz w:w="11910" w:h="16840"/>
          <w:pgMar w:top="1500" w:right="1160" w:bottom="1180" w:left="1180" w:header="0" w:footer="981" w:gutter="0"/>
          <w:cols w:space="720" w:num="1"/>
        </w:sectPr>
      </w:pPr>
    </w:p>
    <w:p>
      <w:pPr>
        <w:pStyle w:val="4"/>
        <w:spacing w:before="30" w:line="240" w:lineRule="auto"/>
        <w:ind w:left="1380" w:right="1402"/>
        <w:jc w:val="center"/>
        <w:rPr>
          <w:lang w:eastAsia="zh-CN"/>
        </w:rPr>
      </w:pPr>
      <w:r>
        <w:rPr>
          <w:lang w:eastAsia="zh-CN"/>
        </w:rPr>
        <w:t>目录</w:t>
      </w:r>
    </w:p>
    <w:p>
      <w:pPr>
        <w:pStyle w:val="5"/>
        <w:ind w:left="0"/>
        <w:rPr>
          <w:rFonts w:ascii="黑体"/>
          <w:b/>
          <w:lang w:eastAsia="zh-CN"/>
        </w:rPr>
      </w:pPr>
    </w:p>
    <w:p>
      <w:pPr>
        <w:pStyle w:val="5"/>
        <w:ind w:left="0"/>
        <w:rPr>
          <w:rFonts w:ascii="黑体"/>
          <w:b/>
          <w:lang w:eastAsia="zh-CN"/>
        </w:rPr>
      </w:pPr>
    </w:p>
    <w:p>
      <w:pPr>
        <w:pStyle w:val="5"/>
        <w:tabs>
          <w:tab w:val="left" w:pos="3019"/>
        </w:tabs>
        <w:spacing w:before="287"/>
        <w:ind w:left="1260"/>
        <w:rPr>
          <w:lang w:eastAsia="zh-CN"/>
        </w:rPr>
      </w:pPr>
      <w:r>
        <w:rPr>
          <w:lang w:eastAsia="zh-CN"/>
        </w:rPr>
        <w:t>第一章</w:t>
      </w:r>
      <w:r>
        <w:rPr>
          <w:lang w:eastAsia="zh-CN"/>
        </w:rPr>
        <w:tab/>
      </w:r>
      <w:r>
        <w:rPr>
          <w:lang w:eastAsia="zh-CN"/>
        </w:rPr>
        <w:t>风险提示</w:t>
      </w:r>
    </w:p>
    <w:p>
      <w:pPr>
        <w:pStyle w:val="5"/>
        <w:tabs>
          <w:tab w:val="left" w:pos="3019"/>
        </w:tabs>
        <w:spacing w:before="149"/>
        <w:ind w:left="1260"/>
        <w:rPr>
          <w:lang w:eastAsia="zh-CN"/>
        </w:rPr>
      </w:pPr>
      <w:r>
        <w:fldChar w:fldCharType="begin"/>
      </w:r>
      <w:r>
        <w:instrText xml:space="preserve"> HYPERLINK \l "_bookmark0" </w:instrText>
      </w:r>
      <w:r>
        <w:fldChar w:fldCharType="separate"/>
      </w:r>
      <w:r>
        <w:rPr>
          <w:lang w:eastAsia="zh-CN"/>
        </w:rPr>
        <w:t>第二章</w:t>
      </w:r>
      <w:r>
        <w:rPr>
          <w:lang w:eastAsia="zh-CN"/>
        </w:rPr>
        <w:tab/>
      </w:r>
      <w:r>
        <w:rPr>
          <w:lang w:eastAsia="zh-CN"/>
        </w:rPr>
        <w:t>双方签署信息</w:t>
      </w:r>
      <w:r>
        <w:rPr>
          <w:lang w:eastAsia="zh-CN"/>
        </w:rPr>
        <w:fldChar w:fldCharType="end"/>
      </w:r>
    </w:p>
    <w:p>
      <w:pPr>
        <w:pStyle w:val="5"/>
        <w:tabs>
          <w:tab w:val="left" w:pos="3019"/>
        </w:tabs>
        <w:spacing w:before="152"/>
        <w:ind w:left="1260"/>
        <w:rPr>
          <w:lang w:eastAsia="zh-CN"/>
        </w:rPr>
      </w:pPr>
      <w:r>
        <w:fldChar w:fldCharType="begin"/>
      </w:r>
      <w:r>
        <w:instrText xml:space="preserve"> HYPERLINK \l "_bookmark2" </w:instrText>
      </w:r>
      <w:r>
        <w:fldChar w:fldCharType="separate"/>
      </w:r>
      <w:r>
        <w:rPr>
          <w:lang w:eastAsia="zh-CN"/>
        </w:rPr>
        <w:t>第三章</w:t>
      </w:r>
      <w:r>
        <w:rPr>
          <w:lang w:eastAsia="zh-CN"/>
        </w:rPr>
        <w:tab/>
      </w:r>
      <w:r>
        <w:rPr>
          <w:w w:val="95"/>
          <w:lang w:eastAsia="zh-CN"/>
        </w:rPr>
        <w:t>名词解释</w:t>
      </w:r>
      <w:r>
        <w:rPr>
          <w:w w:val="95"/>
          <w:lang w:eastAsia="zh-CN"/>
        </w:rPr>
        <w:fldChar w:fldCharType="end"/>
      </w:r>
    </w:p>
    <w:p>
      <w:pPr>
        <w:pStyle w:val="5"/>
        <w:tabs>
          <w:tab w:val="left" w:pos="3019"/>
        </w:tabs>
        <w:spacing w:before="149"/>
        <w:ind w:left="1260"/>
        <w:rPr>
          <w:lang w:eastAsia="zh-CN"/>
        </w:rPr>
      </w:pPr>
      <w:r>
        <w:fldChar w:fldCharType="begin"/>
      </w:r>
      <w:r>
        <w:instrText xml:space="preserve"> HYPERLINK \l "_bookmark3" </w:instrText>
      </w:r>
      <w:r>
        <w:fldChar w:fldCharType="separate"/>
      </w:r>
      <w:r>
        <w:rPr>
          <w:lang w:eastAsia="zh-CN"/>
        </w:rPr>
        <w:t>第四章</w:t>
      </w:r>
      <w:r>
        <w:rPr>
          <w:lang w:eastAsia="zh-CN"/>
        </w:rPr>
        <w:tab/>
      </w:r>
      <w:r>
        <w:rPr>
          <w:w w:val="95"/>
          <w:lang w:eastAsia="zh-CN"/>
        </w:rPr>
        <w:t>双方陈述</w:t>
      </w:r>
      <w:r>
        <w:rPr>
          <w:w w:val="95"/>
          <w:lang w:eastAsia="zh-CN"/>
        </w:rPr>
        <w:fldChar w:fldCharType="end"/>
      </w:r>
    </w:p>
    <w:p>
      <w:pPr>
        <w:pStyle w:val="5"/>
        <w:tabs>
          <w:tab w:val="left" w:pos="3019"/>
        </w:tabs>
        <w:spacing w:before="149" w:line="328" w:lineRule="auto"/>
        <w:ind w:left="1260" w:right="3985"/>
        <w:rPr>
          <w:lang w:eastAsia="zh-CN"/>
        </w:rPr>
      </w:pPr>
      <w:r>
        <w:fldChar w:fldCharType="begin"/>
      </w:r>
      <w:r>
        <w:instrText xml:space="preserve"> HYPERLINK \l "_bookmark4" </w:instrText>
      </w:r>
      <w:r>
        <w:fldChar w:fldCharType="separate"/>
      </w:r>
      <w:r>
        <w:rPr>
          <w:lang w:eastAsia="zh-CN"/>
        </w:rPr>
        <w:t>第五章</w:t>
      </w:r>
      <w:r>
        <w:rPr>
          <w:lang w:eastAsia="zh-CN"/>
        </w:rPr>
        <w:tab/>
      </w:r>
      <w:r>
        <w:rPr>
          <w:lang w:eastAsia="zh-CN"/>
        </w:rPr>
        <w:t>双方的权利和义务</w:t>
      </w:r>
      <w:r>
        <w:rPr>
          <w:lang w:eastAsia="zh-CN"/>
        </w:rPr>
        <w:fldChar w:fldCharType="end"/>
      </w:r>
      <w:r>
        <w:fldChar w:fldCharType="begin"/>
      </w:r>
      <w:r>
        <w:instrText xml:space="preserve"> HYPERLINK \l "_bookmark5" </w:instrText>
      </w:r>
      <w:r>
        <w:fldChar w:fldCharType="separate"/>
      </w:r>
      <w:r>
        <w:rPr>
          <w:lang w:eastAsia="zh-CN"/>
        </w:rPr>
        <w:t>第六章</w:t>
      </w:r>
      <w:r>
        <w:rPr>
          <w:lang w:eastAsia="zh-CN"/>
        </w:rPr>
        <w:tab/>
      </w:r>
      <w:r>
        <w:rPr>
          <w:lang w:eastAsia="zh-CN"/>
        </w:rPr>
        <w:t>电能量零售结算</w:t>
      </w:r>
      <w:r>
        <w:rPr>
          <w:lang w:eastAsia="zh-CN"/>
        </w:rPr>
        <w:fldChar w:fldCharType="end"/>
      </w:r>
      <w:r>
        <w:fldChar w:fldCharType="begin"/>
      </w:r>
      <w:r>
        <w:instrText xml:space="preserve"> HYPERLINK \l "_bookmark6" </w:instrText>
      </w:r>
      <w:r>
        <w:fldChar w:fldCharType="separate"/>
      </w:r>
      <w:r>
        <w:rPr>
          <w:lang w:eastAsia="zh-CN"/>
        </w:rPr>
        <w:t xml:space="preserve"> 第七章</w:t>
      </w:r>
      <w:r>
        <w:rPr>
          <w:lang w:eastAsia="zh-CN"/>
        </w:rPr>
        <w:tab/>
      </w:r>
      <w:r>
        <w:rPr>
          <w:lang w:eastAsia="zh-CN"/>
        </w:rPr>
        <w:t>绿电零售结算</w:t>
      </w:r>
      <w:r>
        <w:rPr>
          <w:lang w:eastAsia="zh-CN"/>
        </w:rPr>
        <w:fldChar w:fldCharType="end"/>
      </w:r>
    </w:p>
    <w:p>
      <w:pPr>
        <w:pStyle w:val="5"/>
        <w:spacing w:line="328" w:lineRule="auto"/>
        <w:ind w:left="1260" w:right="4305"/>
        <w:jc w:val="both"/>
        <w:rPr>
          <w:lang w:eastAsia="zh-CN"/>
        </w:rPr>
      </w:pPr>
      <w:r>
        <w:fldChar w:fldCharType="begin"/>
      </w:r>
      <w:r>
        <w:instrText xml:space="preserve"> HYPERLINK \l "_bookmark7" </w:instrText>
      </w:r>
      <w:r>
        <w:fldChar w:fldCharType="separate"/>
      </w:r>
      <w:r>
        <w:rPr>
          <w:lang w:eastAsia="zh-CN"/>
        </w:rPr>
        <w:t xml:space="preserve">第八章   </w:t>
      </w:r>
      <w:r>
        <w:rPr>
          <w:rFonts w:hint="eastAsia"/>
          <w:lang w:eastAsia="zh-CN"/>
        </w:rPr>
        <w:t xml:space="preserve">  </w:t>
      </w:r>
      <w:r>
        <w:rPr>
          <w:lang w:eastAsia="zh-CN"/>
        </w:rPr>
        <w:t>合同违约和赔偿</w:t>
      </w:r>
      <w:r>
        <w:rPr>
          <w:lang w:eastAsia="zh-CN"/>
        </w:rPr>
        <w:fldChar w:fldCharType="end"/>
      </w:r>
      <w:r>
        <w:fldChar w:fldCharType="begin"/>
      </w:r>
      <w:r>
        <w:instrText xml:space="preserve"> HYPERLINK \l "_bookmark8" </w:instrText>
      </w:r>
      <w:r>
        <w:fldChar w:fldCharType="separate"/>
      </w:r>
      <w:r>
        <w:rPr>
          <w:lang w:eastAsia="zh-CN"/>
        </w:rPr>
        <w:t xml:space="preserve">第九章   </w:t>
      </w:r>
      <w:r>
        <w:rPr>
          <w:rFonts w:hint="eastAsia"/>
          <w:lang w:eastAsia="zh-CN"/>
        </w:rPr>
        <w:t xml:space="preserve">  </w:t>
      </w:r>
      <w:r>
        <w:rPr>
          <w:lang w:eastAsia="zh-CN"/>
        </w:rPr>
        <w:t>合同变更和解除</w:t>
      </w:r>
      <w:r>
        <w:rPr>
          <w:lang w:eastAsia="zh-CN"/>
        </w:rPr>
        <w:fldChar w:fldCharType="end"/>
      </w:r>
    </w:p>
    <w:p>
      <w:pPr>
        <w:pStyle w:val="5"/>
        <w:spacing w:line="328" w:lineRule="auto"/>
        <w:ind w:left="1260" w:right="4305"/>
        <w:jc w:val="both"/>
        <w:rPr>
          <w:lang w:eastAsia="zh-CN"/>
        </w:rPr>
      </w:pPr>
      <w:r>
        <w:fldChar w:fldCharType="begin"/>
      </w:r>
      <w:r>
        <w:instrText xml:space="preserve"> HYPERLINK \l "_bookmark9" </w:instrText>
      </w:r>
      <w:r>
        <w:fldChar w:fldCharType="separate"/>
      </w:r>
      <w:r>
        <w:rPr>
          <w:lang w:eastAsia="zh-CN"/>
        </w:rPr>
        <w:t xml:space="preserve">第十章 </w:t>
      </w:r>
      <w:r>
        <w:rPr>
          <w:rFonts w:hint="eastAsia"/>
          <w:lang w:eastAsia="zh-CN"/>
        </w:rPr>
        <w:t xml:space="preserve">    </w:t>
      </w:r>
      <w:r>
        <w:rPr>
          <w:lang w:eastAsia="zh-CN"/>
        </w:rPr>
        <w:t>争议解决</w:t>
      </w:r>
      <w:r>
        <w:rPr>
          <w:lang w:eastAsia="zh-CN"/>
        </w:rPr>
        <w:fldChar w:fldCharType="end"/>
      </w:r>
    </w:p>
    <w:p>
      <w:pPr>
        <w:pStyle w:val="5"/>
        <w:tabs>
          <w:tab w:val="left" w:pos="3019"/>
        </w:tabs>
        <w:spacing w:line="405" w:lineRule="exact"/>
        <w:ind w:left="1260"/>
        <w:rPr>
          <w:lang w:eastAsia="zh-CN"/>
        </w:rPr>
      </w:pPr>
      <w:r>
        <w:fldChar w:fldCharType="begin"/>
      </w:r>
      <w:r>
        <w:instrText xml:space="preserve"> HYPERLINK \l "_bookmark10" </w:instrText>
      </w:r>
      <w:r>
        <w:fldChar w:fldCharType="separate"/>
      </w:r>
      <w:r>
        <w:rPr>
          <w:lang w:eastAsia="zh-CN"/>
        </w:rPr>
        <w:t>第十一章</w:t>
      </w:r>
      <w:r>
        <w:rPr>
          <w:lang w:eastAsia="zh-CN"/>
        </w:rPr>
        <w:tab/>
      </w:r>
      <w:r>
        <w:rPr>
          <w:lang w:eastAsia="zh-CN"/>
        </w:rPr>
        <w:t>其他</w:t>
      </w:r>
      <w:r>
        <w:rPr>
          <w:lang w:eastAsia="zh-CN"/>
        </w:rPr>
        <w:fldChar w:fldCharType="end"/>
      </w:r>
    </w:p>
    <w:p>
      <w:pPr>
        <w:pStyle w:val="5"/>
        <w:tabs>
          <w:tab w:val="left" w:pos="3099"/>
        </w:tabs>
        <w:spacing w:before="125"/>
        <w:ind w:left="1260"/>
        <w:rPr>
          <w:lang w:eastAsia="zh-CN"/>
        </w:rPr>
      </w:pPr>
      <w:r>
        <w:rPr>
          <w:lang w:eastAsia="zh-CN"/>
        </w:rPr>
        <w:t>附表</w:t>
      </w:r>
      <w:r>
        <w:rPr>
          <w:spacing w:val="-80"/>
          <w:lang w:eastAsia="zh-CN"/>
        </w:rPr>
        <w:t xml:space="preserve"> </w:t>
      </w:r>
      <w:r>
        <w:rPr>
          <w:rFonts w:ascii="Times New Roman" w:eastAsia="Times New Roman"/>
          <w:lang w:eastAsia="zh-CN"/>
        </w:rPr>
        <w:t>1</w:t>
      </w:r>
      <w:r>
        <w:rPr>
          <w:rFonts w:ascii="Times New Roman" w:eastAsia="Times New Roman"/>
          <w:lang w:eastAsia="zh-CN"/>
        </w:rPr>
        <w:tab/>
      </w:r>
      <w:r>
        <w:rPr>
          <w:lang w:eastAsia="zh-CN"/>
        </w:rPr>
        <w:t>电能量结算模式设置表</w:t>
      </w:r>
    </w:p>
    <w:p>
      <w:pPr>
        <w:pStyle w:val="5"/>
        <w:tabs>
          <w:tab w:val="left" w:pos="3099"/>
        </w:tabs>
        <w:spacing w:before="214"/>
        <w:ind w:left="1260"/>
        <w:rPr>
          <w:lang w:eastAsia="zh-CN"/>
        </w:rPr>
      </w:pPr>
      <w:r>
        <w:rPr>
          <w:lang w:eastAsia="zh-CN"/>
        </w:rPr>
        <w:t>附表</w:t>
      </w:r>
      <w:r>
        <w:rPr>
          <w:spacing w:val="-80"/>
          <w:lang w:eastAsia="zh-CN"/>
        </w:rPr>
        <w:t xml:space="preserve"> </w:t>
      </w:r>
      <w:r>
        <w:rPr>
          <w:rFonts w:ascii="Times New Roman" w:eastAsia="Times New Roman"/>
          <w:lang w:eastAsia="zh-CN"/>
        </w:rPr>
        <w:t>2</w:t>
      </w:r>
      <w:r>
        <w:rPr>
          <w:rFonts w:ascii="Times New Roman" w:eastAsia="Times New Roman"/>
          <w:lang w:eastAsia="zh-CN"/>
        </w:rPr>
        <w:tab/>
      </w:r>
      <w:r>
        <w:rPr>
          <w:lang w:eastAsia="zh-CN"/>
        </w:rPr>
        <w:t>绿电环境溢价结算模式设置表</w:t>
      </w:r>
    </w:p>
    <w:p>
      <w:pPr>
        <w:pStyle w:val="2"/>
        <w:ind w:left="440"/>
        <w:rPr>
          <w:lang w:eastAsia="zh-CN"/>
        </w:rPr>
        <w:sectPr>
          <w:pgSz w:w="11910" w:h="16840"/>
          <w:pgMar w:top="1500" w:right="1160" w:bottom="1180" w:left="1180" w:header="0" w:footer="981" w:gutter="0"/>
          <w:cols w:space="720" w:num="1"/>
        </w:sectPr>
      </w:pPr>
    </w:p>
    <w:p>
      <w:pPr>
        <w:pStyle w:val="5"/>
        <w:spacing w:before="2"/>
        <w:ind w:left="0"/>
        <w:rPr>
          <w:sz w:val="17"/>
          <w:lang w:eastAsia="zh-CN"/>
        </w:rPr>
      </w:pPr>
    </w:p>
    <w:p>
      <w:pPr>
        <w:pStyle w:val="5"/>
        <w:spacing w:before="55" w:line="326" w:lineRule="auto"/>
        <w:ind w:right="637" w:firstLine="640"/>
        <w:jc w:val="both"/>
        <w:rPr>
          <w:lang w:eastAsia="zh-CN"/>
        </w:rPr>
      </w:pPr>
      <w:r>
        <w:rPr>
          <w:spacing w:val="-3"/>
          <w:w w:val="95"/>
          <w:lang w:eastAsia="zh-CN"/>
        </w:rPr>
        <w:t>甲乙双方本着平等、自愿、诚信的原则，就电力交易事</w:t>
      </w:r>
      <w:r>
        <w:rPr>
          <w:spacing w:val="-3"/>
          <w:lang w:eastAsia="zh-CN"/>
        </w:rPr>
        <w:t>宜达成以下协议：</w:t>
      </w:r>
    </w:p>
    <w:p>
      <w:pPr>
        <w:pStyle w:val="4"/>
        <w:tabs>
          <w:tab w:val="left" w:pos="4771"/>
        </w:tabs>
      </w:pPr>
      <w:bookmarkStart w:id="1" w:name="第一章__风险提示"/>
      <w:bookmarkEnd w:id="1"/>
      <w:r>
        <w:t>第一章</w:t>
      </w:r>
      <w:r>
        <w:tab/>
      </w:r>
      <w:r>
        <w:t>风险提示</w:t>
      </w:r>
    </w:p>
    <w:p>
      <w:pPr>
        <w:pStyle w:val="12"/>
        <w:numPr>
          <w:ilvl w:val="1"/>
          <w:numId w:val="1"/>
        </w:numPr>
        <w:tabs>
          <w:tab w:val="left" w:pos="1741"/>
        </w:tabs>
        <w:spacing w:before="235" w:line="326" w:lineRule="auto"/>
        <w:ind w:right="784" w:firstLine="640"/>
        <w:jc w:val="both"/>
        <w:rPr>
          <w:sz w:val="32"/>
          <w:lang w:eastAsia="zh-CN"/>
        </w:rPr>
      </w:pPr>
      <w:r>
        <w:rPr>
          <w:sz w:val="32"/>
          <w:lang w:eastAsia="zh-CN"/>
        </w:rPr>
        <w:t>本合同按广东电力零售市场统一范本商定，一经线上签订即对合同双方具有法律约束力。</w:t>
      </w:r>
    </w:p>
    <w:p>
      <w:pPr>
        <w:pStyle w:val="12"/>
        <w:numPr>
          <w:ilvl w:val="1"/>
          <w:numId w:val="1"/>
        </w:numPr>
        <w:tabs>
          <w:tab w:val="left" w:pos="1741"/>
        </w:tabs>
        <w:spacing w:before="4" w:line="328" w:lineRule="auto"/>
        <w:ind w:right="784" w:firstLine="640"/>
        <w:jc w:val="both"/>
        <w:rPr>
          <w:sz w:val="32"/>
          <w:lang w:eastAsia="zh-CN"/>
        </w:rPr>
      </w:pPr>
      <w:r>
        <w:rPr>
          <w:sz w:val="32"/>
          <w:lang w:eastAsia="zh-CN"/>
        </w:rPr>
        <w:t>交易中心依据此电子合同约定进行结算。若双方另行约定的其他合同与本合同不一致所造成的双方损失或争议，双方通过协商或司法等途径处理解决。</w:t>
      </w:r>
    </w:p>
    <w:p>
      <w:pPr>
        <w:pStyle w:val="12"/>
        <w:numPr>
          <w:ilvl w:val="1"/>
          <w:numId w:val="1"/>
        </w:numPr>
        <w:tabs>
          <w:tab w:val="left" w:pos="1741"/>
        </w:tabs>
        <w:spacing w:line="328" w:lineRule="auto"/>
        <w:ind w:right="640" w:firstLine="640"/>
        <w:jc w:val="both"/>
        <w:rPr>
          <w:sz w:val="32"/>
          <w:lang w:eastAsia="zh-CN"/>
        </w:rPr>
      </w:pPr>
      <w:r>
        <w:rPr>
          <w:sz w:val="32"/>
          <w:lang w:eastAsia="zh-CN"/>
        </w:rPr>
        <w:t>本合同采用电子合同形式进行线上签订，请各市场</w:t>
      </w:r>
      <w:r>
        <w:rPr>
          <w:spacing w:val="-1"/>
          <w:w w:val="95"/>
          <w:sz w:val="32"/>
          <w:lang w:eastAsia="zh-CN"/>
        </w:rPr>
        <w:t>主体妥善使用签约过程中须用到的验证码</w:t>
      </w:r>
      <w:r>
        <w:rPr>
          <w:w w:val="95"/>
          <w:sz w:val="32"/>
          <w:lang w:eastAsia="zh-CN"/>
        </w:rPr>
        <w:t>（通过对公账户打款方式发送</w:t>
      </w:r>
      <w:r>
        <w:rPr>
          <w:spacing w:val="-5"/>
          <w:w w:val="95"/>
          <w:sz w:val="32"/>
          <w:lang w:eastAsia="zh-CN"/>
        </w:rPr>
        <w:t>）</w:t>
      </w:r>
      <w:r>
        <w:rPr>
          <w:spacing w:val="-3"/>
          <w:w w:val="95"/>
          <w:sz w:val="32"/>
          <w:lang w:eastAsia="zh-CN"/>
        </w:rPr>
        <w:t>、人脸识别等信息，勿配合或提供给其他方使</w:t>
      </w:r>
      <w:r>
        <w:rPr>
          <w:spacing w:val="-3"/>
          <w:sz w:val="32"/>
          <w:lang w:eastAsia="zh-CN"/>
        </w:rPr>
        <w:t>用。</w:t>
      </w:r>
    </w:p>
    <w:p>
      <w:pPr>
        <w:pStyle w:val="12"/>
        <w:numPr>
          <w:ilvl w:val="1"/>
          <w:numId w:val="1"/>
        </w:numPr>
        <w:tabs>
          <w:tab w:val="left" w:pos="1741"/>
        </w:tabs>
        <w:spacing w:line="400" w:lineRule="exact"/>
        <w:ind w:firstLine="640"/>
        <w:jc w:val="both"/>
        <w:rPr>
          <w:sz w:val="32"/>
          <w:lang w:eastAsia="zh-CN"/>
        </w:rPr>
      </w:pPr>
      <w:r>
        <w:rPr>
          <w:sz w:val="32"/>
          <w:lang w:eastAsia="zh-CN"/>
        </w:rPr>
        <w:t>零售合同中仅约定电能量电费、绿电环境溢价电费</w:t>
      </w:r>
    </w:p>
    <w:p>
      <w:pPr>
        <w:pStyle w:val="5"/>
        <w:spacing w:before="149" w:line="328" w:lineRule="auto"/>
        <w:ind w:right="640"/>
        <w:jc w:val="both"/>
        <w:rPr>
          <w:lang w:eastAsia="zh-CN"/>
        </w:rPr>
      </w:pPr>
      <w:r>
        <w:rPr>
          <w:w w:val="95"/>
          <w:lang w:eastAsia="zh-CN"/>
        </w:rPr>
        <w:t>（可选</w:t>
      </w:r>
      <w:r>
        <w:rPr>
          <w:spacing w:val="-5"/>
          <w:w w:val="95"/>
          <w:lang w:eastAsia="zh-CN"/>
        </w:rPr>
        <w:t>），</w:t>
      </w:r>
      <w:r>
        <w:rPr>
          <w:spacing w:val="-1"/>
          <w:w w:val="95"/>
          <w:lang w:eastAsia="zh-CN"/>
        </w:rPr>
        <w:t xml:space="preserve">非用户最终到户电费。用户最终到户电费还包括 </w:t>
      </w:r>
      <w:r>
        <w:rPr>
          <w:spacing w:val="-4"/>
          <w:w w:val="95"/>
          <w:lang w:eastAsia="zh-CN"/>
        </w:rPr>
        <w:t>输配电费、分摊电费、政府基金及附加等其他费用</w:t>
      </w:r>
      <w:r>
        <w:rPr>
          <w:w w:val="95"/>
          <w:lang w:eastAsia="zh-CN"/>
        </w:rPr>
        <w:t>（详见合</w:t>
      </w:r>
      <w:r>
        <w:rPr>
          <w:spacing w:val="-17"/>
          <w:lang w:eastAsia="zh-CN"/>
        </w:rPr>
        <w:t xml:space="preserve">同文本第 </w:t>
      </w:r>
      <w:r>
        <w:rPr>
          <w:rFonts w:ascii="Times New Roman" w:eastAsia="Times New Roman"/>
          <w:lang w:eastAsia="zh-CN"/>
        </w:rPr>
        <w:t>6.2</w:t>
      </w:r>
      <w:r>
        <w:rPr>
          <w:rFonts w:ascii="Times New Roman" w:eastAsia="Times New Roman"/>
          <w:spacing w:val="-4"/>
          <w:lang w:eastAsia="zh-CN"/>
        </w:rPr>
        <w:t xml:space="preserve"> </w:t>
      </w:r>
      <w:r>
        <w:rPr>
          <w:lang w:eastAsia="zh-CN"/>
        </w:rPr>
        <w:t>条）。用户在签订合同前请综合评估叠加各部分电费后的用电成本。</w:t>
      </w:r>
    </w:p>
    <w:p>
      <w:pPr>
        <w:pStyle w:val="12"/>
        <w:numPr>
          <w:ilvl w:val="1"/>
          <w:numId w:val="1"/>
        </w:numPr>
        <w:tabs>
          <w:tab w:val="left" w:pos="1741"/>
        </w:tabs>
        <w:spacing w:line="328" w:lineRule="auto"/>
        <w:ind w:right="705" w:firstLine="640"/>
        <w:jc w:val="both"/>
        <w:rPr>
          <w:sz w:val="32"/>
          <w:lang w:eastAsia="zh-CN"/>
        </w:rPr>
      </w:pPr>
      <w:r>
        <w:rPr>
          <w:sz w:val="32"/>
          <w:lang w:eastAsia="zh-CN"/>
        </w:rPr>
        <w:t>不同的合同结算模式下用电价格会存在差异</w:t>
      </w:r>
      <w:r>
        <w:rPr>
          <w:rFonts w:ascii="Times New Roman" w:eastAsia="Times New Roman"/>
          <w:sz w:val="32"/>
          <w:lang w:eastAsia="zh-CN"/>
        </w:rPr>
        <w:t>,</w:t>
      </w:r>
      <w:r>
        <w:rPr>
          <w:sz w:val="32"/>
          <w:lang w:eastAsia="zh-CN"/>
        </w:rPr>
        <w:t>双方签订合同时需重点关注以下风险：</w:t>
      </w:r>
    </w:p>
    <w:p>
      <w:pPr>
        <w:pStyle w:val="12"/>
        <w:numPr>
          <w:ilvl w:val="2"/>
          <w:numId w:val="1"/>
        </w:numPr>
        <w:tabs>
          <w:tab w:val="left" w:pos="1981"/>
        </w:tabs>
        <w:spacing w:line="328" w:lineRule="auto"/>
        <w:ind w:right="637" w:firstLine="640"/>
        <w:jc w:val="both"/>
        <w:rPr>
          <w:sz w:val="32"/>
          <w:lang w:eastAsia="zh-CN"/>
        </w:rPr>
      </w:pPr>
      <w:r>
        <w:rPr>
          <w:sz w:val="32"/>
          <w:lang w:eastAsia="zh-CN"/>
        </w:rPr>
        <w:t>市场联动模式中，当较高比例电量联动市场价格</w:t>
      </w:r>
      <w:r>
        <w:rPr>
          <w:spacing w:val="-3"/>
          <w:w w:val="95"/>
          <w:sz w:val="32"/>
          <w:lang w:eastAsia="zh-CN"/>
        </w:rPr>
        <w:t>时，该部分电量的价格完全跟随市场价格上下浮动，在联动</w:t>
      </w:r>
      <w:r>
        <w:rPr>
          <w:spacing w:val="-4"/>
          <w:w w:val="95"/>
          <w:sz w:val="32"/>
          <w:lang w:eastAsia="zh-CN"/>
        </w:rPr>
        <w:t>价格较高或较低的月份，电力用户的电价会随之有较大幅度</w:t>
      </w:r>
      <w:r>
        <w:rPr>
          <w:spacing w:val="-4"/>
          <w:sz w:val="32"/>
          <w:lang w:eastAsia="zh-CN"/>
        </w:rPr>
        <w:t>的升高或降低。</w:t>
      </w:r>
    </w:p>
    <w:p>
      <w:pPr>
        <w:spacing w:line="328" w:lineRule="auto"/>
        <w:rPr>
          <w:sz w:val="32"/>
          <w:lang w:eastAsia="zh-CN"/>
        </w:rPr>
        <w:sectPr>
          <w:pgSz w:w="11910" w:h="16840"/>
          <w:pgMar w:top="1580" w:right="1160" w:bottom="1180" w:left="1180" w:header="0" w:footer="981" w:gutter="0"/>
          <w:cols w:space="720" w:num="1"/>
        </w:sectPr>
      </w:pPr>
    </w:p>
    <w:p>
      <w:pPr>
        <w:pStyle w:val="12"/>
        <w:numPr>
          <w:ilvl w:val="2"/>
          <w:numId w:val="1"/>
        </w:numPr>
        <w:tabs>
          <w:tab w:val="left" w:pos="1981"/>
        </w:tabs>
        <w:spacing w:before="52" w:line="326" w:lineRule="auto"/>
        <w:ind w:right="640" w:firstLine="640"/>
        <w:jc w:val="both"/>
        <w:rPr>
          <w:sz w:val="32"/>
          <w:lang w:eastAsia="zh-CN"/>
        </w:rPr>
      </w:pPr>
      <w:r>
        <w:rPr>
          <w:spacing w:val="-5"/>
          <w:w w:val="95"/>
          <w:sz w:val="32"/>
          <w:lang w:eastAsia="zh-CN"/>
        </w:rPr>
        <w:t>如选择联动月度及现货偏差电量加权平均价</w:t>
      </w:r>
      <w:r>
        <w:rPr>
          <w:w w:val="95"/>
          <w:sz w:val="32"/>
          <w:lang w:eastAsia="zh-CN"/>
        </w:rPr>
        <w:t>（含分 摊</w:t>
      </w:r>
      <w:r>
        <w:rPr>
          <w:spacing w:val="-3"/>
          <w:w w:val="95"/>
          <w:sz w:val="32"/>
          <w:lang w:eastAsia="zh-CN"/>
        </w:rPr>
        <w:t>）时，若当月批发市场月度交易电量比重越低，则该联动</w:t>
      </w:r>
      <w:r>
        <w:rPr>
          <w:spacing w:val="-3"/>
          <w:sz w:val="32"/>
          <w:lang w:eastAsia="zh-CN"/>
        </w:rPr>
        <w:t>价格更趋于现货价格，波动幅度扩大。</w:t>
      </w:r>
    </w:p>
    <w:p>
      <w:pPr>
        <w:pStyle w:val="12"/>
        <w:numPr>
          <w:ilvl w:val="2"/>
          <w:numId w:val="1"/>
        </w:numPr>
        <w:tabs>
          <w:tab w:val="left" w:pos="1981"/>
        </w:tabs>
        <w:spacing w:before="7" w:line="328" w:lineRule="auto"/>
        <w:ind w:right="637" w:firstLine="640"/>
        <w:jc w:val="both"/>
        <w:rPr>
          <w:sz w:val="32"/>
          <w:lang w:eastAsia="zh-CN"/>
        </w:rPr>
      </w:pPr>
      <w:r>
        <w:rPr>
          <w:spacing w:val="-6"/>
          <w:w w:val="95"/>
          <w:sz w:val="32"/>
          <w:lang w:eastAsia="zh-CN"/>
        </w:rPr>
        <w:t>上浮电费</w:t>
      </w:r>
      <w:r>
        <w:rPr>
          <w:w w:val="95"/>
          <w:sz w:val="32"/>
          <w:lang w:eastAsia="zh-CN"/>
        </w:rPr>
        <w:t>（可选</w:t>
      </w:r>
      <w:r>
        <w:rPr>
          <w:spacing w:val="-22"/>
          <w:w w:val="95"/>
          <w:sz w:val="32"/>
          <w:lang w:eastAsia="zh-CN"/>
        </w:rPr>
        <w:t>）</w:t>
      </w:r>
      <w:r>
        <w:rPr>
          <w:spacing w:val="-4"/>
          <w:w w:val="95"/>
          <w:sz w:val="32"/>
          <w:lang w:eastAsia="zh-CN"/>
        </w:rPr>
        <w:t>和煤电联动电费</w:t>
      </w:r>
      <w:r>
        <w:rPr>
          <w:w w:val="95"/>
          <w:sz w:val="32"/>
          <w:lang w:eastAsia="zh-CN"/>
        </w:rPr>
        <w:t>（可选</w:t>
      </w:r>
      <w:r>
        <w:rPr>
          <w:spacing w:val="-22"/>
          <w:w w:val="95"/>
          <w:sz w:val="32"/>
          <w:lang w:eastAsia="zh-CN"/>
        </w:rPr>
        <w:t>）</w:t>
      </w:r>
      <w:r>
        <w:rPr>
          <w:w w:val="95"/>
          <w:sz w:val="32"/>
          <w:lang w:eastAsia="zh-CN"/>
        </w:rPr>
        <w:t xml:space="preserve">是在固 </w:t>
      </w:r>
      <w:r>
        <w:rPr>
          <w:spacing w:val="-1"/>
          <w:sz w:val="32"/>
          <w:lang w:eastAsia="zh-CN"/>
        </w:rPr>
        <w:t>定价格和市场联动模式基础上额外叠加的电费，双方需综合</w:t>
      </w:r>
      <w:r>
        <w:rPr>
          <w:spacing w:val="-2"/>
          <w:w w:val="95"/>
          <w:sz w:val="32"/>
          <w:lang w:eastAsia="zh-CN"/>
        </w:rPr>
        <w:t>考虑叠加上浮电费</w:t>
      </w:r>
      <w:r>
        <w:rPr>
          <w:w w:val="95"/>
          <w:sz w:val="32"/>
          <w:lang w:eastAsia="zh-CN"/>
        </w:rPr>
        <w:t>（可选</w:t>
      </w:r>
      <w:r>
        <w:rPr>
          <w:spacing w:val="-3"/>
          <w:w w:val="95"/>
          <w:sz w:val="32"/>
          <w:lang w:eastAsia="zh-CN"/>
        </w:rPr>
        <w:t>）</w:t>
      </w:r>
      <w:r>
        <w:rPr>
          <w:spacing w:val="-1"/>
          <w:w w:val="95"/>
          <w:sz w:val="32"/>
          <w:lang w:eastAsia="zh-CN"/>
        </w:rPr>
        <w:t>与煤电联动电费</w:t>
      </w:r>
      <w:r>
        <w:rPr>
          <w:w w:val="95"/>
          <w:sz w:val="32"/>
          <w:lang w:eastAsia="zh-CN"/>
        </w:rPr>
        <w:t>（可选</w:t>
      </w:r>
      <w:r>
        <w:rPr>
          <w:spacing w:val="-3"/>
          <w:w w:val="95"/>
          <w:sz w:val="32"/>
          <w:lang w:eastAsia="zh-CN"/>
        </w:rPr>
        <w:t>）</w:t>
      </w:r>
      <w:r>
        <w:rPr>
          <w:w w:val="95"/>
          <w:sz w:val="32"/>
          <w:lang w:eastAsia="zh-CN"/>
        </w:rPr>
        <w:t xml:space="preserve">后的价 </w:t>
      </w:r>
      <w:r>
        <w:rPr>
          <w:sz w:val="32"/>
          <w:lang w:eastAsia="zh-CN"/>
        </w:rPr>
        <w:t>格水平。</w:t>
      </w:r>
    </w:p>
    <w:p>
      <w:pPr>
        <w:pStyle w:val="5"/>
        <w:spacing w:line="328" w:lineRule="auto"/>
        <w:ind w:right="449" w:firstLine="640"/>
        <w:jc w:val="both"/>
        <w:rPr>
          <w:lang w:eastAsia="zh-CN"/>
        </w:rPr>
      </w:pPr>
      <w:r>
        <w:rPr>
          <w:rFonts w:ascii="Times New Roman" w:eastAsia="Times New Roman"/>
          <w:lang w:eastAsia="zh-CN"/>
        </w:rPr>
        <w:t xml:space="preserve">1.6 </w:t>
      </w:r>
      <w:r>
        <w:rPr>
          <w:lang w:eastAsia="zh-CN"/>
        </w:rPr>
        <w:t>售电公司应综合考虑批发市场分摊电费（含返还电费</w:t>
      </w:r>
      <w:r>
        <w:rPr>
          <w:spacing w:val="-87"/>
          <w:w w:val="95"/>
          <w:lang w:eastAsia="zh-CN"/>
        </w:rPr>
        <w:t>）</w:t>
      </w:r>
      <w:r>
        <w:rPr>
          <w:spacing w:val="-10"/>
          <w:w w:val="95"/>
          <w:lang w:eastAsia="zh-CN"/>
        </w:rPr>
        <w:t xml:space="preserve">等购电成本，与零售用户协商确定零售合同价格及参数。其 </w:t>
      </w:r>
      <w:r>
        <w:rPr>
          <w:spacing w:val="-10"/>
          <w:lang w:eastAsia="zh-CN"/>
        </w:rPr>
        <w:t>中市场联动价格已包含售电公司批发市场用户侧度电分摊单价，注意避免重复计费。</w:t>
      </w:r>
    </w:p>
    <w:p>
      <w:pPr>
        <w:pStyle w:val="4"/>
        <w:tabs>
          <w:tab w:val="left" w:pos="1283"/>
        </w:tabs>
        <w:spacing w:line="383" w:lineRule="exact"/>
        <w:ind w:left="0" w:right="22"/>
        <w:jc w:val="center"/>
        <w:rPr>
          <w:lang w:eastAsia="zh-CN"/>
        </w:rPr>
      </w:pPr>
      <w:bookmarkStart w:id="2" w:name="第二章__双方签署信息"/>
      <w:bookmarkEnd w:id="2"/>
      <w:r>
        <w:rPr>
          <w:lang w:eastAsia="zh-CN"/>
        </w:rPr>
        <w:t>第二章</w:t>
      </w:r>
      <w:r>
        <w:rPr>
          <w:lang w:eastAsia="zh-CN"/>
        </w:rPr>
        <w:tab/>
      </w:r>
      <w:r>
        <w:rPr>
          <w:lang w:eastAsia="zh-CN"/>
        </w:rPr>
        <w:t>双方签署信息</w:t>
      </w:r>
    </w:p>
    <w:p>
      <w:pPr>
        <w:pStyle w:val="5"/>
        <w:spacing w:before="225"/>
        <w:rPr>
          <w:lang w:eastAsia="zh-CN"/>
        </w:rPr>
      </w:pPr>
      <w:r>
        <w:rPr>
          <w:lang w:eastAsia="zh-CN"/>
        </w:rPr>
        <w:t>本合同由下列双方签署：</w:t>
      </w:r>
    </w:p>
    <w:p>
      <w:pPr>
        <w:pStyle w:val="12"/>
        <w:numPr>
          <w:ilvl w:val="1"/>
          <w:numId w:val="2"/>
        </w:numPr>
        <w:tabs>
          <w:tab w:val="left" w:pos="1741"/>
        </w:tabs>
        <w:spacing w:before="152"/>
        <w:rPr>
          <w:sz w:val="32"/>
          <w:lang w:eastAsia="zh-CN"/>
        </w:rPr>
      </w:pPr>
      <w:bookmarkStart w:id="3" w:name="_bookmark0"/>
      <w:bookmarkEnd w:id="3"/>
      <w:r>
        <w:rPr>
          <w:w w:val="95"/>
          <w:sz w:val="32"/>
          <w:lang w:eastAsia="zh-CN"/>
        </w:rPr>
        <w:t>购电方（电力用户，以下简称甲方）：</w:t>
      </w:r>
    </w:p>
    <w:p>
      <w:pPr>
        <w:pStyle w:val="5"/>
        <w:tabs>
          <w:tab w:val="left" w:pos="3495"/>
          <w:tab w:val="left" w:pos="3739"/>
          <w:tab w:val="left" w:pos="6665"/>
          <w:tab w:val="left" w:pos="7649"/>
          <w:tab w:val="left" w:pos="8139"/>
        </w:tabs>
        <w:spacing w:before="149" w:line="328" w:lineRule="auto"/>
        <w:ind w:right="637" w:firstLine="640" w:firstLineChars="200"/>
        <w:jc w:val="both"/>
        <w:rPr>
          <w:rFonts w:eastAsiaTheme="minorEastAsia"/>
          <w:u w:val="single"/>
          <w:lang w:eastAsia="zh-CN"/>
        </w:rPr>
      </w:pPr>
      <w:r>
        <w:rPr>
          <w:rFonts w:hint="eastAsia"/>
          <w:u w:val="single"/>
          <w:lang w:eastAsia="zh-CN"/>
        </w:rPr>
        <w:t xml:space="preserve">                      </w:t>
      </w:r>
      <w:r>
        <w:rPr>
          <w:lang w:eastAsia="zh-CN"/>
        </w:rPr>
        <w:t>系一家具有</w:t>
      </w:r>
      <w:r>
        <w:rPr>
          <w:u w:val="single"/>
          <w:lang w:eastAsia="zh-CN"/>
        </w:rPr>
        <w:t>法人资格</w:t>
      </w:r>
      <w:r>
        <w:rPr>
          <w:rFonts w:ascii="Times New Roman" w:eastAsia="Times New Roman"/>
          <w:u w:val="single"/>
          <w:lang w:eastAsia="zh-CN"/>
        </w:rPr>
        <w:t>/</w:t>
      </w:r>
      <w:r>
        <w:rPr>
          <w:u w:val="single"/>
          <w:lang w:eastAsia="zh-CN"/>
        </w:rPr>
        <w:t>经法人单位授权</w:t>
      </w:r>
      <w:r>
        <w:rPr>
          <w:lang w:eastAsia="zh-CN"/>
        </w:rPr>
        <w:t>的企业</w:t>
      </w:r>
      <w:r>
        <w:rPr>
          <w:spacing w:val="-34"/>
          <w:lang w:eastAsia="zh-CN"/>
        </w:rPr>
        <w:t>，</w:t>
      </w:r>
      <w:r>
        <w:rPr>
          <w:lang w:eastAsia="zh-CN"/>
        </w:rPr>
        <w:t>企业在地</w:t>
      </w:r>
      <w:r>
        <w:rPr>
          <w:spacing w:val="-92"/>
          <w:lang w:eastAsia="zh-CN"/>
        </w:rPr>
        <w:t xml:space="preserve"> </w:t>
      </w:r>
      <w:r>
        <w:rPr>
          <w:lang w:eastAsia="zh-CN"/>
        </w:rPr>
        <w:t>址</w:t>
      </w:r>
      <w:r>
        <w:rPr>
          <w:spacing w:val="-92"/>
          <w:lang w:eastAsia="zh-CN"/>
        </w:rPr>
        <w:t xml:space="preserve"> </w:t>
      </w:r>
      <w:r>
        <w:rPr>
          <w:lang w:eastAsia="zh-CN"/>
        </w:rPr>
        <w:t>：</w:t>
      </w:r>
      <w:r>
        <w:rPr>
          <w:u w:val="single"/>
          <w:lang w:eastAsia="zh-CN"/>
        </w:rPr>
        <w:t xml:space="preserve"> </w:t>
      </w:r>
      <w:r>
        <w:rPr>
          <w:rFonts w:hint="eastAsia"/>
          <w:u w:val="single"/>
          <w:lang w:eastAsia="zh-CN"/>
        </w:rPr>
        <w:t xml:space="preserve">                </w:t>
      </w:r>
      <w:r>
        <w:rPr>
          <w:lang w:eastAsia="zh-CN"/>
        </w:rPr>
        <w:t>，</w:t>
      </w:r>
      <w:r>
        <w:rPr>
          <w:spacing w:val="-93"/>
          <w:lang w:eastAsia="zh-CN"/>
        </w:rPr>
        <w:t xml:space="preserve"> </w:t>
      </w:r>
      <w:r>
        <w:rPr>
          <w:lang w:eastAsia="zh-CN"/>
        </w:rPr>
        <w:t>统</w:t>
      </w:r>
      <w:r>
        <w:rPr>
          <w:spacing w:val="-95"/>
          <w:lang w:eastAsia="zh-CN"/>
        </w:rPr>
        <w:t xml:space="preserve"> </w:t>
      </w:r>
      <w:r>
        <w:rPr>
          <w:lang w:eastAsia="zh-CN"/>
        </w:rPr>
        <w:t>一</w:t>
      </w:r>
      <w:r>
        <w:rPr>
          <w:spacing w:val="-93"/>
          <w:lang w:eastAsia="zh-CN"/>
        </w:rPr>
        <w:t xml:space="preserve"> </w:t>
      </w:r>
      <w:r>
        <w:rPr>
          <w:lang w:eastAsia="zh-CN"/>
        </w:rPr>
        <w:t>信</w:t>
      </w:r>
      <w:r>
        <w:rPr>
          <w:spacing w:val="-93"/>
          <w:lang w:eastAsia="zh-CN"/>
        </w:rPr>
        <w:t xml:space="preserve"> </w:t>
      </w:r>
      <w:r>
        <w:rPr>
          <w:lang w:eastAsia="zh-CN"/>
        </w:rPr>
        <w:t>用</w:t>
      </w:r>
      <w:r>
        <w:rPr>
          <w:spacing w:val="-95"/>
          <w:lang w:eastAsia="zh-CN"/>
        </w:rPr>
        <w:t xml:space="preserve"> </w:t>
      </w:r>
      <w:r>
        <w:rPr>
          <w:lang w:eastAsia="zh-CN"/>
        </w:rPr>
        <w:t>代码</w:t>
      </w:r>
      <w:r>
        <w:rPr>
          <w:spacing w:val="-3"/>
          <w:lang w:eastAsia="zh-CN"/>
        </w:rPr>
        <w:t>：</w:t>
      </w:r>
      <w:r>
        <w:rPr>
          <w:spacing w:val="-3"/>
          <w:u w:val="single"/>
          <w:lang w:eastAsia="zh-CN"/>
        </w:rPr>
        <w:t xml:space="preserve"> </w:t>
      </w:r>
      <w:r>
        <w:rPr>
          <w:rFonts w:hint="eastAsia" w:ascii="Times New Roman" w:hAnsi="Times New Roman" w:eastAsia="仿宋_GB2312" w:cs="Times New Roman"/>
          <w:color w:val="000000"/>
          <w:u w:val="single"/>
          <w:lang w:eastAsia="zh-CN"/>
        </w:rPr>
        <w:t xml:space="preserve">                             </w:t>
      </w:r>
      <w:r>
        <w:rPr>
          <w:spacing w:val="-3"/>
          <w:lang w:eastAsia="zh-CN"/>
        </w:rPr>
        <w:t>，</w:t>
      </w:r>
      <w:r>
        <w:rPr>
          <w:lang w:eastAsia="zh-CN"/>
        </w:rPr>
        <w:t>法定代表</w:t>
      </w:r>
      <w:r>
        <w:rPr>
          <w:rFonts w:hint="eastAsia"/>
          <w:lang w:eastAsia="zh-CN"/>
        </w:rPr>
        <w:t>人</w:t>
      </w:r>
      <w:r>
        <w:rPr>
          <w:rFonts w:hint="eastAsia" w:eastAsiaTheme="minorEastAsia"/>
          <w:u w:val="single"/>
          <w:lang w:eastAsia="zh-CN"/>
        </w:rPr>
        <w:t xml:space="preserve">        。</w:t>
      </w:r>
    </w:p>
    <w:p>
      <w:pPr>
        <w:pStyle w:val="5"/>
        <w:tabs>
          <w:tab w:val="left" w:pos="3495"/>
          <w:tab w:val="left" w:pos="3739"/>
          <w:tab w:val="left" w:pos="6665"/>
          <w:tab w:val="left" w:pos="7649"/>
          <w:tab w:val="left" w:pos="8139"/>
        </w:tabs>
        <w:spacing w:before="149" w:line="328" w:lineRule="auto"/>
        <w:ind w:right="637"/>
        <w:rPr>
          <w:lang w:eastAsia="zh-CN"/>
        </w:rPr>
      </w:pPr>
      <w:r>
        <w:rPr>
          <w:lang w:eastAsia="zh-CN"/>
        </w:rPr>
        <w:t>甲方联络通讯信息：</w:t>
      </w:r>
    </w:p>
    <w:p>
      <w:pPr>
        <w:pStyle w:val="5"/>
        <w:tabs>
          <w:tab w:val="left" w:pos="4858"/>
        </w:tabs>
        <w:spacing w:line="326" w:lineRule="auto"/>
        <w:ind w:right="2865"/>
        <w:rPr>
          <w:rFonts w:ascii="Times New Roman" w:eastAsia="Times New Roman"/>
          <w:lang w:eastAsia="zh-CN"/>
        </w:rPr>
      </w:pPr>
      <w:r>
        <w:rPr>
          <w:lang w:eastAsia="zh-CN"/>
        </w:rPr>
        <w:t>联系人：</w:t>
      </w:r>
      <w:r>
        <w:rPr>
          <w:rFonts w:hint="eastAsia" w:ascii="Times New Roman" w:eastAsia="Times New Roman"/>
          <w:u w:val="single"/>
          <w:lang w:eastAsia="zh-CN"/>
        </w:rPr>
        <w:t xml:space="preserve">                     </w:t>
      </w:r>
      <w:r>
        <w:rPr>
          <w:rFonts w:ascii="Times New Roman" w:eastAsia="Times New Roman"/>
          <w:u w:val="single"/>
          <w:lang w:eastAsia="zh-CN"/>
        </w:rPr>
        <w:t xml:space="preserve"> </w:t>
      </w:r>
      <w:r>
        <w:rPr>
          <w:w w:val="95"/>
          <w:lang w:eastAsia="zh-CN"/>
        </w:rPr>
        <w:t>电子邮箱：</w:t>
      </w:r>
      <w:r>
        <w:rPr>
          <w:rFonts w:ascii="Times New Roman" w:eastAsia="Times New Roman"/>
          <w:w w:val="95"/>
          <w:u w:val="single"/>
          <w:lang w:eastAsia="zh-CN"/>
        </w:rPr>
        <w:t xml:space="preserve"> </w:t>
      </w:r>
      <w:r>
        <w:rPr>
          <w:rFonts w:hint="eastAsia" w:ascii="Times New Roman"/>
          <w:w w:val="95"/>
          <w:u w:val="single"/>
          <w:lang w:eastAsia="zh-CN"/>
        </w:rPr>
        <w:t xml:space="preserve">                                  </w:t>
      </w:r>
    </w:p>
    <w:p>
      <w:pPr>
        <w:pStyle w:val="5"/>
        <w:tabs>
          <w:tab w:val="left" w:pos="1260"/>
          <w:tab w:val="left" w:pos="4858"/>
          <w:tab w:val="left" w:pos="9005"/>
        </w:tabs>
        <w:spacing w:line="326" w:lineRule="auto"/>
        <w:ind w:right="558"/>
        <w:rPr>
          <w:rFonts w:ascii="Times New Roman"/>
          <w:w w:val="95"/>
          <w:u w:val="single"/>
          <w:lang w:eastAsia="zh-CN"/>
        </w:rPr>
      </w:pPr>
      <w:r>
        <w:rPr>
          <w:lang w:eastAsia="zh-CN"/>
        </w:rPr>
        <w:t>手</w:t>
      </w:r>
      <w:r>
        <w:rPr>
          <w:lang w:eastAsia="zh-CN"/>
        </w:rPr>
        <w:tab/>
      </w:r>
      <w:r>
        <w:rPr>
          <w:lang w:eastAsia="zh-CN"/>
        </w:rPr>
        <w:t>机：</w:t>
      </w:r>
      <w:r>
        <w:rPr>
          <w:rFonts w:hint="eastAsia"/>
          <w:u w:val="single"/>
          <w:lang w:eastAsia="zh-CN"/>
        </w:rPr>
        <w:t xml:space="preserve">           </w:t>
      </w:r>
      <w:r>
        <w:rPr>
          <w:lang w:eastAsia="zh-CN"/>
        </w:rPr>
        <w:t>办公电话：</w:t>
      </w:r>
      <w:r>
        <w:rPr>
          <w:rFonts w:ascii="Times New Roman" w:eastAsia="Times New Roman"/>
          <w:w w:val="95"/>
          <w:u w:val="single"/>
          <w:lang w:eastAsia="zh-CN"/>
        </w:rPr>
        <w:t xml:space="preserve"> </w:t>
      </w:r>
      <w:r>
        <w:rPr>
          <w:rFonts w:hint="eastAsia" w:ascii="Times New Roman"/>
          <w:w w:val="95"/>
          <w:u w:val="single"/>
          <w:lang w:eastAsia="zh-CN"/>
        </w:rPr>
        <w:t xml:space="preserve">                   </w:t>
      </w:r>
    </w:p>
    <w:p>
      <w:pPr>
        <w:pStyle w:val="5"/>
        <w:tabs>
          <w:tab w:val="left" w:pos="1260"/>
          <w:tab w:val="left" w:pos="4858"/>
          <w:tab w:val="left" w:pos="9005"/>
        </w:tabs>
        <w:spacing w:line="326" w:lineRule="auto"/>
        <w:ind w:right="558"/>
        <w:rPr>
          <w:rFonts w:ascii="Times New Roman"/>
          <w:u w:val="single"/>
          <w:lang w:eastAsia="zh-CN"/>
        </w:rPr>
      </w:pPr>
      <w:r>
        <w:rPr>
          <w:w w:val="95"/>
          <w:lang w:eastAsia="zh-CN"/>
        </w:rPr>
        <w:t>联系地址：</w:t>
      </w:r>
      <w:r>
        <w:rPr>
          <w:rFonts w:hint="eastAsia"/>
          <w:w w:val="95"/>
          <w:u w:val="single"/>
          <w:lang w:eastAsia="zh-CN"/>
        </w:rPr>
        <w:t xml:space="preserve">                               </w:t>
      </w:r>
      <w:r>
        <w:rPr>
          <w:rFonts w:hint="eastAsia"/>
          <w:w w:val="95"/>
          <w:lang w:eastAsia="zh-CN"/>
        </w:rPr>
        <w:t xml:space="preserve">   </w:t>
      </w:r>
    </w:p>
    <w:p>
      <w:pPr>
        <w:spacing w:line="326" w:lineRule="auto"/>
        <w:rPr>
          <w:rFonts w:ascii="Times New Roman" w:eastAsia="Times New Roman"/>
          <w:u w:val="single"/>
          <w:lang w:eastAsia="zh-CN"/>
        </w:rPr>
        <w:sectPr>
          <w:pgSz w:w="11910" w:h="16840"/>
          <w:pgMar w:top="1500" w:right="1160" w:bottom="1180" w:left="1180" w:header="0" w:footer="981" w:gutter="0"/>
          <w:cols w:space="720" w:num="1"/>
        </w:sectPr>
      </w:pPr>
    </w:p>
    <w:p>
      <w:pPr>
        <w:pStyle w:val="12"/>
        <w:numPr>
          <w:ilvl w:val="1"/>
          <w:numId w:val="2"/>
        </w:numPr>
        <w:tabs>
          <w:tab w:val="left" w:pos="1741"/>
        </w:tabs>
        <w:spacing w:before="52"/>
        <w:rPr>
          <w:sz w:val="32"/>
          <w:lang w:eastAsia="zh-CN"/>
        </w:rPr>
      </w:pPr>
      <w:bookmarkStart w:id="4" w:name="_bookmark1"/>
      <w:bookmarkEnd w:id="4"/>
      <w:r>
        <w:rPr>
          <w:w w:val="95"/>
          <w:sz w:val="32"/>
          <w:lang w:eastAsia="zh-CN"/>
        </w:rPr>
        <w:t>售电方（售电公司，以下简称乙方）：</w:t>
      </w:r>
    </w:p>
    <w:p>
      <w:pPr>
        <w:pStyle w:val="5"/>
        <w:tabs>
          <w:tab w:val="left" w:pos="3067"/>
          <w:tab w:val="left" w:pos="3819"/>
          <w:tab w:val="left" w:pos="7306"/>
          <w:tab w:val="left" w:pos="7632"/>
          <w:tab w:val="left" w:pos="7980"/>
        </w:tabs>
        <w:spacing w:before="149" w:line="328" w:lineRule="auto"/>
        <w:ind w:left="0" w:leftChars="0" w:right="479" w:firstLine="0" w:firstLineChars="0"/>
        <w:rPr>
          <w:lang w:eastAsia="zh-CN"/>
        </w:rPr>
      </w:pPr>
      <w:r>
        <w:rPr>
          <w:u w:val="single"/>
          <w:lang w:eastAsia="zh-CN"/>
        </w:rPr>
        <w:t xml:space="preserve">    </w:t>
      </w:r>
      <w:r>
        <w:rPr>
          <w:rFonts w:hint="eastAsia"/>
          <w:u w:val="single"/>
          <w:lang w:eastAsia="zh-CN"/>
        </w:rPr>
        <w:t xml:space="preserve">  </w:t>
      </w:r>
      <w:r>
        <w:rPr>
          <w:u w:val="single"/>
          <w:lang w:eastAsia="zh-CN"/>
        </w:rPr>
        <w:t xml:space="preserve">           </w:t>
      </w:r>
      <w:r>
        <w:rPr>
          <w:lang w:eastAsia="zh-CN"/>
        </w:rPr>
        <w:t>系一家具有</w:t>
      </w:r>
      <w:r>
        <w:rPr>
          <w:rFonts w:hint="eastAsia"/>
          <w:u w:val="single"/>
          <w:lang w:eastAsia="zh-CN"/>
        </w:rPr>
        <w:t xml:space="preserve"> </w:t>
      </w:r>
      <w:r>
        <w:rPr>
          <w:u w:val="single"/>
          <w:lang w:eastAsia="zh-CN"/>
        </w:rPr>
        <w:t>法人资格</w:t>
      </w:r>
      <w:r>
        <w:rPr>
          <w:rFonts w:hint="eastAsia"/>
          <w:u w:val="single"/>
          <w:lang w:eastAsia="zh-CN"/>
        </w:rPr>
        <w:t xml:space="preserve"> </w:t>
      </w:r>
      <w:r>
        <w:rPr>
          <w:lang w:eastAsia="zh-CN"/>
        </w:rPr>
        <w:t>的售电公司</w:t>
      </w:r>
      <w:r>
        <w:rPr>
          <w:rFonts w:hint="eastAsia"/>
          <w:lang w:eastAsia="zh-CN"/>
        </w:rPr>
        <w:t>,</w:t>
      </w:r>
      <w:r>
        <w:rPr>
          <w:spacing w:val="5"/>
          <w:lang w:eastAsia="zh-CN"/>
        </w:rPr>
        <w:t>具备售电资格，企业所在</w:t>
      </w:r>
      <w:r>
        <w:rPr>
          <w:u w:val="single"/>
          <w:lang w:eastAsia="zh-CN"/>
        </w:rPr>
        <w:t xml:space="preserve">        </w:t>
      </w:r>
      <w:r>
        <w:rPr>
          <w:spacing w:val="5"/>
          <w:lang w:eastAsia="zh-CN"/>
        </w:rPr>
        <w:t>，统一信</w:t>
      </w:r>
      <w:r>
        <w:rPr>
          <w:lang w:eastAsia="zh-CN"/>
        </w:rPr>
        <w:t>用</w:t>
      </w:r>
      <w:r>
        <w:rPr>
          <w:spacing w:val="5"/>
          <w:lang w:eastAsia="zh-CN"/>
        </w:rPr>
        <w:t>代码：</w:t>
      </w:r>
      <w:r>
        <w:rPr>
          <w:rFonts w:hint="eastAsia" w:ascii="Times New Roman" w:hAnsi="Times New Roman" w:eastAsia="仿宋_GB2312" w:cs="Times New Roman"/>
          <w:color w:val="000000"/>
          <w:u w:val="single"/>
          <w:lang w:eastAsia="zh-CN"/>
        </w:rPr>
        <w:t xml:space="preserve"> </w:t>
      </w:r>
      <w:r>
        <w:rPr>
          <w:rFonts w:ascii="Times New Roman" w:hAnsi="Times New Roman" w:eastAsia="仿宋_GB2312" w:cs="Times New Roman"/>
          <w:color w:val="000000"/>
          <w:u w:val="single"/>
          <w:lang w:eastAsia="zh-CN"/>
        </w:rPr>
        <w:t xml:space="preserve">                                            </w:t>
      </w:r>
      <w:r>
        <w:rPr>
          <w:spacing w:val="5"/>
          <w:lang w:eastAsia="zh-CN"/>
        </w:rPr>
        <w:t>，法定</w:t>
      </w:r>
      <w:r>
        <w:rPr>
          <w:lang w:eastAsia="zh-CN"/>
        </w:rPr>
        <w:t>代表人：</w:t>
      </w:r>
      <w:r>
        <w:rPr>
          <w:u w:val="single"/>
          <w:lang w:eastAsia="zh-CN"/>
        </w:rPr>
        <w:t xml:space="preserve"> </w:t>
      </w:r>
      <w:r>
        <w:rPr>
          <w:rFonts w:hint="eastAsia"/>
          <w:u w:val="single"/>
          <w:lang w:eastAsia="zh-CN"/>
        </w:rPr>
        <w:t xml:space="preserve"> </w:t>
      </w:r>
      <w:r>
        <w:rPr>
          <w:u w:val="single"/>
          <w:lang w:eastAsia="zh-CN"/>
        </w:rPr>
        <w:t xml:space="preserve">    </w:t>
      </w:r>
      <w:r>
        <w:rPr>
          <w:u w:val="single"/>
          <w:lang w:eastAsia="zh-CN"/>
        </w:rPr>
        <w:tab/>
      </w:r>
      <w:r>
        <w:rPr>
          <w:lang w:eastAsia="zh-CN"/>
        </w:rPr>
        <w:t>。</w:t>
      </w:r>
    </w:p>
    <w:p>
      <w:pPr>
        <w:pStyle w:val="5"/>
        <w:spacing w:line="405" w:lineRule="exact"/>
        <w:rPr>
          <w:lang w:eastAsia="zh-CN"/>
        </w:rPr>
      </w:pPr>
      <w:r>
        <w:rPr>
          <w:lang w:eastAsia="zh-CN"/>
        </w:rPr>
        <w:t>乙方联络通讯信息：</w:t>
      </w:r>
    </w:p>
    <w:p>
      <w:pPr>
        <w:pStyle w:val="5"/>
        <w:tabs>
          <w:tab w:val="left" w:pos="4858"/>
          <w:tab w:val="left" w:pos="9005"/>
        </w:tabs>
        <w:spacing w:before="149" w:line="328" w:lineRule="auto"/>
        <w:ind w:right="558"/>
        <w:jc w:val="both"/>
        <w:rPr>
          <w:rFonts w:ascii="Times New Roman"/>
          <w:w w:val="95"/>
          <w:lang w:eastAsia="zh-CN"/>
        </w:rPr>
      </w:pPr>
      <w:r>
        <w:rPr>
          <w:lang w:eastAsia="zh-CN"/>
        </w:rPr>
        <w:t>联系人：</w:t>
      </w:r>
      <w:r>
        <w:rPr>
          <w:rFonts w:hint="eastAsia"/>
          <w:u w:val="single"/>
          <w:lang w:eastAsia="zh-CN"/>
        </w:rPr>
        <w:t xml:space="preserve"> </w:t>
      </w:r>
      <w:r>
        <w:rPr>
          <w:u w:val="single"/>
          <w:lang w:eastAsia="zh-CN"/>
        </w:rPr>
        <w:t xml:space="preserve">        </w:t>
      </w:r>
      <w:r>
        <w:rPr>
          <w:lang w:eastAsia="zh-CN"/>
        </w:rPr>
        <w:t>电子邮箱：</w:t>
      </w:r>
      <w:r>
        <w:rPr>
          <w:rFonts w:ascii="Times New Roman"/>
          <w:w w:val="95"/>
          <w:u w:val="single"/>
          <w:lang w:eastAsia="zh-CN"/>
        </w:rPr>
        <w:t xml:space="preserve">                                                 </w:t>
      </w:r>
      <w:r>
        <w:rPr>
          <w:rFonts w:hint="eastAsia" w:ascii="Times New Roman"/>
          <w:w w:val="95"/>
          <w:u w:val="single"/>
          <w:lang w:eastAsia="zh-CN"/>
        </w:rPr>
        <w:t xml:space="preserve"> </w:t>
      </w:r>
    </w:p>
    <w:p>
      <w:pPr>
        <w:pStyle w:val="5"/>
        <w:tabs>
          <w:tab w:val="left" w:pos="4858"/>
          <w:tab w:val="left" w:pos="9005"/>
        </w:tabs>
        <w:spacing w:before="149" w:line="328" w:lineRule="auto"/>
        <w:ind w:right="558"/>
        <w:jc w:val="both"/>
        <w:rPr>
          <w:rFonts w:ascii="Times New Roman" w:hAnsi="Times New Roman" w:eastAsia="仿宋_GB2312" w:cs="Times New Roman"/>
          <w:color w:val="000000"/>
          <w:u w:val="single"/>
          <w:lang w:eastAsia="zh-CN"/>
        </w:rPr>
      </w:pPr>
      <w:r>
        <w:rPr>
          <w:lang w:eastAsia="zh-CN"/>
        </w:rPr>
        <w:t>手 机：</w:t>
      </w:r>
      <w:r>
        <w:rPr>
          <w:rFonts w:ascii="Times New Roman" w:hAnsi="Times New Roman" w:eastAsia="仿宋_GB2312" w:cs="Times New Roman"/>
          <w:color w:val="000000"/>
          <w:u w:val="single"/>
          <w:lang w:eastAsia="zh-CN"/>
        </w:rPr>
        <w:t xml:space="preserve">                             </w:t>
      </w:r>
      <w:r>
        <w:rPr>
          <w:rFonts w:hint="eastAsia" w:ascii="Times New Roman" w:hAnsi="Times New Roman" w:eastAsia="仿宋_GB2312" w:cs="Times New Roman"/>
          <w:color w:val="000000"/>
          <w:lang w:eastAsia="zh-CN"/>
        </w:rPr>
        <w:t xml:space="preserve"> </w:t>
      </w:r>
      <w:r>
        <w:rPr>
          <w:lang w:eastAsia="zh-CN"/>
        </w:rPr>
        <w:t>办公电话：</w:t>
      </w:r>
      <w:r>
        <w:rPr>
          <w:rFonts w:ascii="Times New Roman" w:hAnsi="Times New Roman" w:eastAsia="仿宋_GB2312" w:cs="Times New Roman"/>
          <w:color w:val="000000"/>
          <w:u w:val="single"/>
          <w:lang w:eastAsia="zh-CN"/>
        </w:rPr>
        <w:t xml:space="preserve">                                       </w:t>
      </w:r>
    </w:p>
    <w:p>
      <w:pPr>
        <w:pStyle w:val="5"/>
        <w:tabs>
          <w:tab w:val="left" w:pos="4858"/>
          <w:tab w:val="left" w:pos="9005"/>
        </w:tabs>
        <w:spacing w:before="149" w:line="328" w:lineRule="auto"/>
        <w:ind w:right="558"/>
        <w:jc w:val="both"/>
        <w:rPr>
          <w:rFonts w:ascii="Times New Roman" w:eastAsia="Times New Roman"/>
          <w:lang w:eastAsia="zh-CN"/>
        </w:rPr>
      </w:pPr>
      <w:r>
        <w:rPr>
          <w:w w:val="95"/>
          <w:lang w:eastAsia="zh-CN"/>
        </w:rPr>
        <w:t>联系地址：</w:t>
      </w:r>
      <w:r>
        <w:rPr>
          <w:rFonts w:hint="eastAsia"/>
          <w:u w:val="single"/>
          <w:lang w:eastAsia="zh-CN"/>
        </w:rPr>
        <w:t xml:space="preserve"> </w:t>
      </w:r>
      <w:r>
        <w:rPr>
          <w:u w:val="single"/>
          <w:lang w:eastAsia="zh-CN"/>
        </w:rPr>
        <w:t xml:space="preserve">                                         </w:t>
      </w:r>
    </w:p>
    <w:p>
      <w:pPr>
        <w:pStyle w:val="12"/>
        <w:numPr>
          <w:ilvl w:val="1"/>
          <w:numId w:val="2"/>
        </w:numPr>
        <w:tabs>
          <w:tab w:val="left" w:pos="1727"/>
          <w:tab w:val="left" w:pos="4126"/>
          <w:tab w:val="left" w:pos="4925"/>
          <w:tab w:val="left" w:pos="5724"/>
          <w:tab w:val="left" w:pos="7006"/>
          <w:tab w:val="left" w:pos="7805"/>
          <w:tab w:val="left" w:pos="8604"/>
        </w:tabs>
        <w:spacing w:line="405" w:lineRule="exact"/>
        <w:ind w:left="1726" w:hanging="466"/>
        <w:rPr>
          <w:sz w:val="32"/>
        </w:rPr>
      </w:pPr>
      <w:r>
        <w:rPr>
          <w:sz w:val="32"/>
        </w:rPr>
        <w:t>合同有效期：</w:t>
      </w:r>
      <w:r>
        <w:rPr>
          <w:rFonts w:hint="eastAsia"/>
          <w:sz w:val="32"/>
          <w:szCs w:val="32"/>
          <w:u w:val="single"/>
          <w:lang w:eastAsia="zh-CN"/>
        </w:rPr>
        <w:t>2023年1月1日至2023年12月31日</w:t>
      </w:r>
    </w:p>
    <w:p>
      <w:pPr>
        <w:pStyle w:val="4"/>
        <w:tabs>
          <w:tab w:val="left" w:pos="4771"/>
        </w:tabs>
        <w:spacing w:before="130" w:line="240" w:lineRule="auto"/>
      </w:pPr>
      <w:bookmarkStart w:id="5" w:name="_bookmark2"/>
      <w:bookmarkEnd w:id="5"/>
      <w:bookmarkStart w:id="6" w:name="第三章_名词解释"/>
      <w:bookmarkEnd w:id="6"/>
      <w:r>
        <w:t>第三章</w:t>
      </w:r>
      <w:r>
        <w:tab/>
      </w:r>
      <w:r>
        <w:t>名词解释</w:t>
      </w:r>
    </w:p>
    <w:p>
      <w:pPr>
        <w:pStyle w:val="12"/>
        <w:numPr>
          <w:ilvl w:val="1"/>
          <w:numId w:val="3"/>
        </w:numPr>
        <w:tabs>
          <w:tab w:val="left" w:pos="1741"/>
        </w:tabs>
        <w:spacing w:before="214"/>
        <w:ind w:firstLine="640"/>
        <w:jc w:val="both"/>
        <w:rPr>
          <w:sz w:val="32"/>
          <w:lang w:eastAsia="zh-CN"/>
        </w:rPr>
      </w:pPr>
      <w:r>
        <w:rPr>
          <w:sz w:val="32"/>
          <w:lang w:eastAsia="zh-CN"/>
        </w:rPr>
        <w:t>交易中心：指广东电力交易中心有限责任公司。</w:t>
      </w:r>
    </w:p>
    <w:p>
      <w:pPr>
        <w:pStyle w:val="12"/>
        <w:numPr>
          <w:ilvl w:val="1"/>
          <w:numId w:val="3"/>
        </w:numPr>
        <w:tabs>
          <w:tab w:val="left" w:pos="1741"/>
        </w:tabs>
        <w:spacing w:before="214" w:line="364" w:lineRule="auto"/>
        <w:ind w:right="784" w:firstLine="640"/>
        <w:jc w:val="both"/>
        <w:rPr>
          <w:sz w:val="32"/>
          <w:lang w:eastAsia="zh-CN"/>
        </w:rPr>
      </w:pPr>
      <w:r>
        <w:rPr>
          <w:sz w:val="32"/>
          <w:lang w:eastAsia="zh-CN"/>
        </w:rPr>
        <w:t>交易系统：指交易机构负责建设、运营、管理的电力市场技术支持系统。</w:t>
      </w:r>
    </w:p>
    <w:p>
      <w:pPr>
        <w:pStyle w:val="12"/>
        <w:numPr>
          <w:ilvl w:val="1"/>
          <w:numId w:val="3"/>
        </w:numPr>
        <w:tabs>
          <w:tab w:val="left" w:pos="1741"/>
        </w:tabs>
        <w:spacing w:before="2" w:line="364" w:lineRule="auto"/>
        <w:ind w:right="784" w:firstLine="640"/>
        <w:jc w:val="both"/>
        <w:rPr>
          <w:sz w:val="32"/>
          <w:lang w:eastAsia="zh-CN"/>
        </w:rPr>
      </w:pPr>
      <w:r>
        <w:rPr>
          <w:sz w:val="32"/>
          <w:lang w:eastAsia="zh-CN"/>
        </w:rPr>
        <w:t>零售合同：指售电公司与零售用户签订的明确双方权利义务以及量、价、率等交易结算条款的合同。</w:t>
      </w:r>
    </w:p>
    <w:p>
      <w:pPr>
        <w:pStyle w:val="12"/>
        <w:numPr>
          <w:ilvl w:val="1"/>
          <w:numId w:val="3"/>
        </w:numPr>
        <w:tabs>
          <w:tab w:val="left" w:pos="1741"/>
        </w:tabs>
        <w:spacing w:before="1" w:line="364" w:lineRule="auto"/>
        <w:ind w:right="640" w:firstLine="640"/>
        <w:jc w:val="both"/>
        <w:rPr>
          <w:sz w:val="32"/>
          <w:lang w:eastAsia="zh-CN"/>
        </w:rPr>
      </w:pPr>
      <w:r>
        <w:rPr>
          <w:sz w:val="32"/>
          <w:lang w:eastAsia="zh-CN"/>
        </w:rPr>
        <w:t>零售结算：指交易中心按照市场主体签订的电子零</w:t>
      </w:r>
      <w:r>
        <w:rPr>
          <w:spacing w:val="-1"/>
          <w:w w:val="95"/>
          <w:sz w:val="32"/>
          <w:lang w:eastAsia="zh-CN"/>
        </w:rPr>
        <w:t>售合同计算并发布电能量与绿电电费结算依据，再由电网企</w:t>
      </w:r>
      <w:r>
        <w:rPr>
          <w:spacing w:val="-1"/>
          <w:sz w:val="32"/>
          <w:lang w:eastAsia="zh-CN"/>
        </w:rPr>
        <w:t>业汇总发行及收付电费的过程。</w:t>
      </w:r>
    </w:p>
    <w:p>
      <w:pPr>
        <w:pStyle w:val="12"/>
        <w:numPr>
          <w:ilvl w:val="1"/>
          <w:numId w:val="3"/>
        </w:numPr>
        <w:tabs>
          <w:tab w:val="left" w:pos="1741"/>
        </w:tabs>
        <w:spacing w:before="3" w:line="364" w:lineRule="auto"/>
        <w:ind w:right="479" w:firstLine="640"/>
        <w:jc w:val="both"/>
        <w:rPr>
          <w:sz w:val="32"/>
          <w:lang w:eastAsia="zh-CN"/>
        </w:rPr>
      </w:pPr>
      <w:r>
        <w:rPr>
          <w:w w:val="95"/>
          <w:sz w:val="32"/>
          <w:lang w:eastAsia="zh-CN"/>
        </w:rPr>
        <w:t xml:space="preserve">零售结算模式：指是由零售合同双方根据交易系统提 </w:t>
      </w:r>
      <w:r>
        <w:rPr>
          <w:spacing w:val="-14"/>
          <w:sz w:val="32"/>
          <w:lang w:eastAsia="zh-CN"/>
        </w:rPr>
        <w:t>供的量、价、率等字段组合生成的结算模式类型及参数值。</w:t>
      </w:r>
    </w:p>
    <w:p>
      <w:pPr>
        <w:pStyle w:val="12"/>
        <w:numPr>
          <w:ilvl w:val="1"/>
          <w:numId w:val="3"/>
        </w:numPr>
        <w:tabs>
          <w:tab w:val="left" w:pos="1741"/>
        </w:tabs>
        <w:spacing w:before="1"/>
        <w:ind w:firstLine="640"/>
        <w:jc w:val="both"/>
        <w:rPr>
          <w:sz w:val="32"/>
          <w:lang w:eastAsia="zh-CN"/>
        </w:rPr>
      </w:pPr>
      <w:r>
        <w:rPr>
          <w:sz w:val="32"/>
          <w:lang w:eastAsia="zh-CN"/>
        </w:rPr>
        <w:t>电能量电费：零售用户、售电公司通过电子零售合</w:t>
      </w:r>
    </w:p>
    <w:p>
      <w:pPr>
        <w:jc w:val="both"/>
        <w:rPr>
          <w:sz w:val="32"/>
          <w:lang w:eastAsia="zh-CN"/>
        </w:rPr>
        <w:sectPr>
          <w:pgSz w:w="11910" w:h="16840"/>
          <w:pgMar w:top="1500" w:right="1160" w:bottom="1180" w:left="1180" w:header="0" w:footer="981" w:gutter="0"/>
          <w:cols w:space="720" w:num="1"/>
        </w:sectPr>
      </w:pPr>
    </w:p>
    <w:p>
      <w:pPr>
        <w:pStyle w:val="5"/>
        <w:spacing w:before="30" w:line="364" w:lineRule="auto"/>
        <w:ind w:right="625"/>
        <w:jc w:val="both"/>
        <w:rPr>
          <w:lang w:eastAsia="zh-CN"/>
        </w:rPr>
      </w:pPr>
      <w:r>
        <w:rPr>
          <w:w w:val="95"/>
          <w:lang w:eastAsia="zh-CN"/>
        </w:rPr>
        <w:t xml:space="preserve">同约定的基于用户实际用电量产生的电费，包括固定电费、 </w:t>
      </w:r>
      <w:r>
        <w:rPr>
          <w:spacing w:val="-1"/>
          <w:lang w:eastAsia="zh-CN"/>
        </w:rPr>
        <w:t>联动电费、煤电联动电费</w:t>
      </w:r>
      <w:r>
        <w:rPr>
          <w:spacing w:val="-3"/>
          <w:lang w:eastAsia="zh-CN"/>
        </w:rPr>
        <w:t>（</w:t>
      </w:r>
      <w:r>
        <w:rPr>
          <w:lang w:eastAsia="zh-CN"/>
        </w:rPr>
        <w:t>可选</w:t>
      </w:r>
      <w:r>
        <w:rPr>
          <w:spacing w:val="-3"/>
          <w:lang w:eastAsia="zh-CN"/>
        </w:rPr>
        <w:t>）</w:t>
      </w:r>
      <w:r>
        <w:rPr>
          <w:lang w:eastAsia="zh-CN"/>
        </w:rPr>
        <w:t>与上浮电费（可选</w:t>
      </w:r>
      <w:r>
        <w:rPr>
          <w:spacing w:val="-3"/>
          <w:lang w:eastAsia="zh-CN"/>
        </w:rPr>
        <w:t>）</w:t>
      </w:r>
      <w:r>
        <w:rPr>
          <w:lang w:eastAsia="zh-CN"/>
        </w:rPr>
        <w:t>四部分。</w:t>
      </w:r>
    </w:p>
    <w:p>
      <w:pPr>
        <w:pStyle w:val="12"/>
        <w:numPr>
          <w:ilvl w:val="1"/>
          <w:numId w:val="3"/>
        </w:numPr>
        <w:tabs>
          <w:tab w:val="left" w:pos="1741"/>
        </w:tabs>
        <w:spacing w:before="24" w:line="328" w:lineRule="auto"/>
        <w:ind w:right="637" w:firstLine="640"/>
        <w:jc w:val="both"/>
        <w:rPr>
          <w:sz w:val="32"/>
          <w:lang w:eastAsia="zh-CN"/>
        </w:rPr>
      </w:pPr>
      <w:r>
        <w:rPr>
          <w:sz w:val="32"/>
          <w:lang w:eastAsia="zh-CN"/>
        </w:rPr>
        <w:t>用户到户电费</w:t>
      </w:r>
      <w:r>
        <w:rPr>
          <w:rFonts w:ascii="Times New Roman" w:eastAsia="Times New Roman"/>
          <w:sz w:val="32"/>
          <w:lang w:eastAsia="zh-CN"/>
        </w:rPr>
        <w:t>:</w:t>
      </w:r>
      <w:r>
        <w:rPr>
          <w:sz w:val="32"/>
          <w:lang w:eastAsia="zh-CN"/>
        </w:rPr>
        <w:t>包括电能量电费、输配电费、尖峰加</w:t>
      </w:r>
      <w:r>
        <w:rPr>
          <w:spacing w:val="-3"/>
          <w:w w:val="95"/>
          <w:sz w:val="32"/>
          <w:lang w:eastAsia="zh-CN"/>
        </w:rPr>
        <w:t>价电费、变动成本补偿分摊电费、需求响应分摊电费、峰谷</w:t>
      </w:r>
      <w:r>
        <w:rPr>
          <w:spacing w:val="-5"/>
          <w:w w:val="95"/>
          <w:sz w:val="32"/>
          <w:lang w:eastAsia="zh-CN"/>
        </w:rPr>
        <w:t>平衡费用、一次能源价格波动疏导分摊电费、政府性基金及</w:t>
      </w:r>
      <w:r>
        <w:rPr>
          <w:spacing w:val="-5"/>
          <w:sz w:val="32"/>
          <w:lang w:eastAsia="zh-CN"/>
        </w:rPr>
        <w:t>附加等电费。其中输配电费、政府性基金及附加、尖峰加价电费、各项分摊电费等按照政策规定执行。</w:t>
      </w:r>
    </w:p>
    <w:p>
      <w:pPr>
        <w:pStyle w:val="12"/>
        <w:numPr>
          <w:ilvl w:val="1"/>
          <w:numId w:val="3"/>
        </w:numPr>
        <w:tabs>
          <w:tab w:val="left" w:pos="1746"/>
        </w:tabs>
        <w:spacing w:line="328" w:lineRule="auto"/>
        <w:ind w:right="638" w:firstLine="640"/>
        <w:jc w:val="both"/>
        <w:rPr>
          <w:spacing w:val="-5"/>
          <w:sz w:val="32"/>
          <w:lang w:eastAsia="zh-CN"/>
        </w:rPr>
      </w:pPr>
      <w:r>
        <w:rPr>
          <w:spacing w:val="-5"/>
          <w:sz w:val="32"/>
          <w:lang w:eastAsia="zh-CN"/>
        </w:rPr>
        <w:t>日前市场月度综合价：指当月日前市场各时段统一结算点电价和对应时段市场总电量的加权平均价格。作为零售结算模式联动价格时包含批发市场用户侧度电分摊单价。</w:t>
      </w:r>
    </w:p>
    <w:p>
      <w:pPr>
        <w:pStyle w:val="5"/>
        <w:spacing w:line="326" w:lineRule="auto"/>
        <w:ind w:right="637" w:firstLine="640"/>
        <w:jc w:val="both"/>
        <w:rPr>
          <w:lang w:eastAsia="zh-CN"/>
        </w:rPr>
      </w:pPr>
      <w:r>
        <w:rPr>
          <w:w w:val="95"/>
          <w:lang w:eastAsia="zh-CN"/>
        </w:rPr>
        <w:t>日前市场月度综合价</w:t>
      </w:r>
      <w:r>
        <w:rPr>
          <w:rFonts w:ascii="Times New Roman" w:hAnsi="Times New Roman" w:eastAsia="Times New Roman"/>
          <w:w w:val="95"/>
          <w:lang w:eastAsia="zh-CN"/>
        </w:rPr>
        <w:t>(</w:t>
      </w:r>
      <w:r>
        <w:rPr>
          <w:w w:val="95"/>
          <w:lang w:eastAsia="zh-CN"/>
        </w:rPr>
        <w:t>含分摊</w:t>
      </w:r>
      <w:r>
        <w:rPr>
          <w:spacing w:val="-17"/>
          <w:w w:val="95"/>
          <w:lang w:eastAsia="zh-CN"/>
        </w:rPr>
        <w:t>）</w:t>
      </w:r>
      <w:r>
        <w:rPr>
          <w:rFonts w:ascii="Times New Roman" w:hAnsi="Times New Roman" w:eastAsia="Times New Roman"/>
          <w:spacing w:val="-17"/>
          <w:w w:val="95"/>
          <w:lang w:eastAsia="zh-CN"/>
        </w:rPr>
        <w:t>=∑</w:t>
      </w:r>
      <w:r>
        <w:rPr>
          <w:spacing w:val="-17"/>
          <w:w w:val="95"/>
          <w:lang w:eastAsia="zh-CN"/>
        </w:rPr>
        <w:t>（</w:t>
      </w:r>
      <w:r>
        <w:rPr>
          <w:w w:val="95"/>
          <w:lang w:eastAsia="zh-CN"/>
        </w:rPr>
        <w:t>每小时实际用电量</w:t>
      </w:r>
      <w:r>
        <w:rPr>
          <w:rFonts w:ascii="Times New Roman" w:hAnsi="Times New Roman" w:eastAsia="Times New Roman"/>
          <w:w w:val="95"/>
          <w:lang w:eastAsia="zh-CN"/>
        </w:rPr>
        <w:t xml:space="preserve">× </w:t>
      </w:r>
      <w:r>
        <w:rPr>
          <w:lang w:eastAsia="zh-CN"/>
        </w:rPr>
        <w:t>每小时日前出清价格）</w:t>
      </w:r>
      <w:r>
        <w:rPr>
          <w:rFonts w:ascii="Times New Roman" w:hAnsi="Times New Roman" w:eastAsia="Times New Roman"/>
          <w:lang w:eastAsia="zh-CN"/>
        </w:rPr>
        <w:t>/</w:t>
      </w:r>
      <w:r>
        <w:rPr>
          <w:lang w:eastAsia="zh-CN"/>
        </w:rPr>
        <w:t>月度总实际用电量</w:t>
      </w:r>
      <w:r>
        <w:rPr>
          <w:rFonts w:ascii="Times New Roman" w:hAnsi="Times New Roman" w:eastAsia="Times New Roman"/>
          <w:lang w:eastAsia="zh-CN"/>
        </w:rPr>
        <w:t>+</w:t>
      </w:r>
      <w:r>
        <w:rPr>
          <w:lang w:eastAsia="zh-CN"/>
        </w:rPr>
        <w:t>当月批发市场用户侧度电分摊单价</w:t>
      </w:r>
      <w:r>
        <w:rPr>
          <w:rFonts w:hint="eastAsia"/>
          <w:lang w:eastAsia="zh-CN"/>
        </w:rPr>
        <w:t>。</w:t>
      </w:r>
    </w:p>
    <w:p>
      <w:pPr>
        <w:pStyle w:val="12"/>
        <w:numPr>
          <w:ilvl w:val="1"/>
          <w:numId w:val="3"/>
        </w:numPr>
        <w:tabs>
          <w:tab w:val="left" w:pos="1746"/>
        </w:tabs>
        <w:spacing w:line="326" w:lineRule="auto"/>
        <w:ind w:right="640" w:firstLine="640"/>
        <w:jc w:val="both"/>
        <w:rPr>
          <w:sz w:val="32"/>
          <w:lang w:eastAsia="zh-CN"/>
        </w:rPr>
      </w:pPr>
      <w:r>
        <w:rPr>
          <w:spacing w:val="5"/>
          <w:sz w:val="32"/>
          <w:lang w:eastAsia="zh-CN"/>
        </w:rPr>
        <w:t>月度集中竞争交易综合价：指交易中心月度交易时</w:t>
      </w:r>
      <w:r>
        <w:rPr>
          <w:w w:val="95"/>
          <w:sz w:val="32"/>
          <w:lang w:eastAsia="zh-CN"/>
        </w:rPr>
        <w:t xml:space="preserve">发布的当月月度集中竞争综合价。作为零售结算模式联动价 </w:t>
      </w:r>
      <w:r>
        <w:rPr>
          <w:sz w:val="32"/>
          <w:lang w:eastAsia="zh-CN"/>
        </w:rPr>
        <w:t>格时包含批发市场用户侧度电分摊单价。</w:t>
      </w:r>
    </w:p>
    <w:p>
      <w:pPr>
        <w:pStyle w:val="5"/>
        <w:spacing w:line="326" w:lineRule="auto"/>
        <w:ind w:right="637" w:firstLine="640"/>
        <w:jc w:val="both"/>
        <w:rPr>
          <w:lang w:eastAsia="zh-CN"/>
        </w:rPr>
      </w:pPr>
      <w:r>
        <w:rPr>
          <w:lang w:eastAsia="zh-CN"/>
        </w:rPr>
        <w:t>月度集中竞争交易综合价（含分摊）</w:t>
      </w:r>
      <w:r>
        <w:rPr>
          <w:rFonts w:ascii="Times New Roman" w:eastAsia="Times New Roman"/>
          <w:lang w:eastAsia="zh-CN"/>
        </w:rPr>
        <w:t>=</w:t>
      </w:r>
      <w:r>
        <w:rPr>
          <w:lang w:eastAsia="zh-CN"/>
        </w:rPr>
        <w:t>当月月度集中竞争综合价</w:t>
      </w:r>
      <w:r>
        <w:rPr>
          <w:rFonts w:ascii="Times New Roman" w:eastAsia="Times New Roman"/>
          <w:lang w:eastAsia="zh-CN"/>
        </w:rPr>
        <w:t>+</w:t>
      </w:r>
      <w:r>
        <w:rPr>
          <w:lang w:eastAsia="zh-CN"/>
        </w:rPr>
        <w:t>当月批发市场用户侧度电分摊单价</w:t>
      </w:r>
      <w:r>
        <w:rPr>
          <w:rFonts w:hint="eastAsia"/>
          <w:lang w:eastAsia="zh-CN"/>
        </w:rPr>
        <w:t>。</w:t>
      </w:r>
    </w:p>
    <w:p>
      <w:pPr>
        <w:pStyle w:val="12"/>
        <w:numPr>
          <w:ilvl w:val="1"/>
          <w:numId w:val="3"/>
        </w:numPr>
        <w:tabs>
          <w:tab w:val="left" w:pos="1900"/>
        </w:tabs>
        <w:spacing w:before="2" w:line="328" w:lineRule="auto"/>
        <w:ind w:right="625" w:firstLine="640"/>
        <w:jc w:val="both"/>
        <w:rPr>
          <w:sz w:val="32"/>
          <w:lang w:eastAsia="zh-CN"/>
        </w:rPr>
      </w:pPr>
      <w:r>
        <w:rPr>
          <w:sz w:val="32"/>
          <w:lang w:eastAsia="zh-CN"/>
        </w:rPr>
        <w:t>月度中长期交易综合价：根据批发市场双边协商、</w:t>
      </w:r>
      <w:r>
        <w:rPr>
          <w:spacing w:val="10"/>
          <w:sz w:val="32"/>
          <w:lang w:eastAsia="zh-CN"/>
        </w:rPr>
        <w:t>挂牌、月度集中竞争等月度中长期交易品种的加权平均价</w:t>
      </w:r>
      <w:r>
        <w:rPr>
          <w:spacing w:val="-1"/>
          <w:sz w:val="32"/>
          <w:lang w:eastAsia="zh-CN"/>
        </w:rPr>
        <w:t>格。作为零售结算模式联动价格时包含批发市场用户侧度电分摊单价。</w:t>
      </w:r>
    </w:p>
    <w:p>
      <w:pPr>
        <w:spacing w:line="328" w:lineRule="auto"/>
        <w:jc w:val="both"/>
        <w:rPr>
          <w:sz w:val="32"/>
          <w:lang w:eastAsia="zh-CN"/>
        </w:rPr>
        <w:sectPr>
          <w:pgSz w:w="11910" w:h="16840"/>
          <w:pgMar w:top="1500" w:right="1160" w:bottom="1180" w:left="1180" w:header="0" w:footer="981" w:gutter="0"/>
          <w:cols w:space="720" w:num="1"/>
        </w:sectPr>
      </w:pPr>
    </w:p>
    <w:p>
      <w:pPr>
        <w:pStyle w:val="5"/>
        <w:spacing w:before="52" w:line="326" w:lineRule="auto"/>
        <w:ind w:right="640" w:firstLine="640"/>
        <w:jc w:val="both"/>
        <w:rPr>
          <w:lang w:eastAsia="zh-CN"/>
        </w:rPr>
      </w:pPr>
      <w:r>
        <w:rPr>
          <w:spacing w:val="3"/>
          <w:lang w:eastAsia="zh-CN"/>
        </w:rPr>
        <w:t>月度中长期交易综合价</w:t>
      </w:r>
      <w:r>
        <w:rPr>
          <w:spacing w:val="5"/>
          <w:lang w:eastAsia="zh-CN"/>
        </w:rPr>
        <w:t>（含分摊）</w:t>
      </w:r>
      <w:r>
        <w:rPr>
          <w:rFonts w:ascii="Times New Roman" w:eastAsia="Times New Roman"/>
          <w:spacing w:val="5"/>
          <w:lang w:eastAsia="zh-CN"/>
        </w:rPr>
        <w:t>=</w:t>
      </w:r>
      <w:r>
        <w:rPr>
          <w:spacing w:val="3"/>
          <w:lang w:eastAsia="zh-CN"/>
        </w:rPr>
        <w:t>月度集中竞争交易</w:t>
      </w:r>
      <w:r>
        <w:rPr>
          <w:spacing w:val="5"/>
          <w:w w:val="95"/>
          <w:lang w:eastAsia="zh-CN"/>
        </w:rPr>
        <w:t>综合价、月度挂牌与月度双边协商交易的加权平均价格</w:t>
      </w:r>
      <w:r>
        <w:rPr>
          <w:rFonts w:ascii="Times New Roman" w:eastAsia="Times New Roman"/>
          <w:spacing w:val="2"/>
          <w:w w:val="95"/>
          <w:lang w:eastAsia="zh-CN"/>
        </w:rPr>
        <w:t>+</w:t>
      </w:r>
      <w:r>
        <w:rPr>
          <w:w w:val="95"/>
          <w:lang w:eastAsia="zh-CN"/>
        </w:rPr>
        <w:t xml:space="preserve">当 </w:t>
      </w:r>
      <w:r>
        <w:rPr>
          <w:lang w:eastAsia="zh-CN"/>
        </w:rPr>
        <w:t>月批发市场用户侧度电分摊单价</w:t>
      </w:r>
      <w:r>
        <w:rPr>
          <w:rFonts w:hint="eastAsia"/>
          <w:lang w:eastAsia="zh-CN"/>
        </w:rPr>
        <w:t>。</w:t>
      </w:r>
    </w:p>
    <w:p>
      <w:pPr>
        <w:pStyle w:val="12"/>
        <w:numPr>
          <w:ilvl w:val="1"/>
          <w:numId w:val="3"/>
        </w:numPr>
        <w:tabs>
          <w:tab w:val="left" w:pos="1888"/>
        </w:tabs>
        <w:spacing w:before="7" w:line="328" w:lineRule="auto"/>
        <w:ind w:right="640" w:firstLine="640"/>
        <w:jc w:val="both"/>
        <w:rPr>
          <w:sz w:val="32"/>
          <w:lang w:eastAsia="zh-CN"/>
        </w:rPr>
      </w:pPr>
      <w:r>
        <w:rPr>
          <w:w w:val="95"/>
          <w:sz w:val="32"/>
          <w:lang w:eastAsia="zh-CN"/>
        </w:rPr>
        <w:t xml:space="preserve">月度及现货偏差电量加权平均价（含分摊）：根据 </w:t>
      </w:r>
      <w:r>
        <w:rPr>
          <w:spacing w:val="-1"/>
          <w:w w:val="95"/>
          <w:sz w:val="32"/>
          <w:lang w:eastAsia="zh-CN"/>
        </w:rPr>
        <w:t>批发市场月度中长期交易电量和月度中长期交易综合价</w:t>
      </w:r>
      <w:r>
        <w:rPr>
          <w:w w:val="95"/>
          <w:sz w:val="32"/>
          <w:lang w:eastAsia="zh-CN"/>
        </w:rPr>
        <w:t>（含分摊</w:t>
      </w:r>
      <w:r>
        <w:rPr>
          <w:spacing w:val="-5"/>
          <w:w w:val="95"/>
          <w:sz w:val="32"/>
          <w:lang w:eastAsia="zh-CN"/>
        </w:rPr>
        <w:t>）</w:t>
      </w:r>
      <w:r>
        <w:rPr>
          <w:spacing w:val="-3"/>
          <w:w w:val="95"/>
          <w:sz w:val="32"/>
          <w:lang w:eastAsia="zh-CN"/>
        </w:rPr>
        <w:t>，以及现货偏差电量绝对值和现货月度综合价</w:t>
      </w:r>
      <w:r>
        <w:rPr>
          <w:w w:val="95"/>
          <w:sz w:val="32"/>
          <w:lang w:eastAsia="zh-CN"/>
        </w:rPr>
        <w:t>（含分</w:t>
      </w:r>
      <w:r>
        <w:rPr>
          <w:sz w:val="32"/>
          <w:lang w:eastAsia="zh-CN"/>
        </w:rPr>
        <w:t>摊），计算得到的加权平均价。</w:t>
      </w:r>
    </w:p>
    <w:p>
      <w:pPr>
        <w:pStyle w:val="5"/>
        <w:spacing w:line="326" w:lineRule="auto"/>
        <w:ind w:right="637" w:firstLine="640"/>
        <w:jc w:val="both"/>
        <w:rPr>
          <w:rFonts w:ascii="Times New Roman"/>
          <w:lang w:eastAsia="zh-CN"/>
        </w:rPr>
      </w:pPr>
      <w:r>
        <w:rPr>
          <w:lang w:eastAsia="zh-CN"/>
        </w:rPr>
        <w:t>其中：现货月度综合价（含分摊）</w:t>
      </w:r>
      <w:r>
        <w:rPr>
          <w:rFonts w:ascii="Times New Roman" w:eastAsia="Times New Roman"/>
          <w:lang w:eastAsia="zh-CN"/>
        </w:rPr>
        <w:t>=[</w:t>
      </w:r>
      <w:r>
        <w:rPr>
          <w:lang w:eastAsia="zh-CN"/>
        </w:rPr>
        <w:t>日前市场月度综合价（含分摊）</w:t>
      </w:r>
      <w:r>
        <w:rPr>
          <w:rFonts w:ascii="Times New Roman" w:eastAsia="Times New Roman"/>
          <w:lang w:eastAsia="zh-CN"/>
        </w:rPr>
        <w:t>+</w:t>
      </w:r>
      <w:r>
        <w:rPr>
          <w:lang w:eastAsia="zh-CN"/>
        </w:rPr>
        <w:t>实时市场月度综合价（含分摊）</w:t>
      </w:r>
      <w:r>
        <w:rPr>
          <w:rFonts w:ascii="Times New Roman" w:eastAsia="Times New Roman"/>
          <w:lang w:eastAsia="zh-CN"/>
        </w:rPr>
        <w:t>]/2</w:t>
      </w:r>
      <w:r>
        <w:rPr>
          <w:rFonts w:hint="eastAsia" w:ascii="Times New Roman"/>
          <w:lang w:eastAsia="zh-CN"/>
        </w:rPr>
        <w:t>。</w:t>
      </w:r>
    </w:p>
    <w:p>
      <w:pPr>
        <w:pStyle w:val="12"/>
        <w:numPr>
          <w:ilvl w:val="1"/>
          <w:numId w:val="3"/>
        </w:numPr>
        <w:tabs>
          <w:tab w:val="left" w:pos="1900"/>
        </w:tabs>
        <w:spacing w:line="326" w:lineRule="auto"/>
        <w:ind w:right="637" w:firstLine="640"/>
        <w:jc w:val="both"/>
        <w:rPr>
          <w:sz w:val="32"/>
          <w:lang w:eastAsia="zh-CN"/>
        </w:rPr>
      </w:pPr>
      <w:r>
        <w:rPr>
          <w:spacing w:val="-1"/>
          <w:sz w:val="32"/>
          <w:lang w:eastAsia="zh-CN"/>
        </w:rPr>
        <w:t>批发市场绿电月度环境溢价均价：是指根据批发市</w:t>
      </w:r>
      <w:r>
        <w:rPr>
          <w:spacing w:val="-2"/>
          <w:w w:val="95"/>
          <w:sz w:val="32"/>
          <w:lang w:eastAsia="zh-CN"/>
        </w:rPr>
        <w:t>场每笔绿电交易电量与环境溢价价格，计算得到的加权平均</w:t>
      </w:r>
      <w:r>
        <w:rPr>
          <w:spacing w:val="-2"/>
          <w:sz w:val="32"/>
          <w:lang w:eastAsia="zh-CN"/>
        </w:rPr>
        <w:t>价。</w:t>
      </w:r>
    </w:p>
    <w:p>
      <w:pPr>
        <w:pStyle w:val="12"/>
        <w:numPr>
          <w:ilvl w:val="1"/>
          <w:numId w:val="3"/>
        </w:numPr>
        <w:tabs>
          <w:tab w:val="left" w:pos="1900"/>
        </w:tabs>
        <w:spacing w:before="5" w:line="326" w:lineRule="auto"/>
        <w:ind w:right="637" w:firstLine="640"/>
        <w:jc w:val="both"/>
        <w:rPr>
          <w:sz w:val="32"/>
          <w:lang w:eastAsia="zh-CN"/>
        </w:rPr>
      </w:pPr>
      <w:r>
        <w:rPr>
          <w:spacing w:val="-2"/>
          <w:sz w:val="32"/>
          <w:lang w:eastAsia="zh-CN"/>
        </w:rPr>
        <w:t>绿电调整系数：是指售电公司批发市场绿电环境溢价月度结算总电量与绿电零售合同月度总电量的比值。</w:t>
      </w:r>
    </w:p>
    <w:p>
      <w:pPr>
        <w:pStyle w:val="4"/>
        <w:tabs>
          <w:tab w:val="left" w:pos="1283"/>
        </w:tabs>
        <w:ind w:left="0" w:right="20"/>
        <w:jc w:val="center"/>
        <w:rPr>
          <w:lang w:eastAsia="zh-CN"/>
        </w:rPr>
      </w:pPr>
      <w:bookmarkStart w:id="7" w:name="_bookmark3"/>
      <w:bookmarkEnd w:id="7"/>
      <w:bookmarkStart w:id="8" w:name="第四章_双方陈述"/>
      <w:bookmarkEnd w:id="8"/>
      <w:r>
        <w:rPr>
          <w:lang w:eastAsia="zh-CN"/>
        </w:rPr>
        <w:t>第四章</w:t>
      </w:r>
      <w:r>
        <w:rPr>
          <w:lang w:eastAsia="zh-CN"/>
        </w:rPr>
        <w:tab/>
      </w:r>
      <w:r>
        <w:rPr>
          <w:lang w:eastAsia="zh-CN"/>
        </w:rPr>
        <w:t>双方陈述</w:t>
      </w:r>
    </w:p>
    <w:p>
      <w:pPr>
        <w:pStyle w:val="5"/>
        <w:spacing w:before="233"/>
        <w:ind w:left="1260"/>
        <w:jc w:val="both"/>
        <w:rPr>
          <w:lang w:eastAsia="zh-CN"/>
        </w:rPr>
      </w:pPr>
      <w:r>
        <w:rPr>
          <w:rFonts w:ascii="Times New Roman" w:eastAsia="Times New Roman"/>
          <w:lang w:eastAsia="zh-CN"/>
        </w:rPr>
        <w:t xml:space="preserve">4.1 </w:t>
      </w:r>
      <w:r>
        <w:rPr>
          <w:lang w:eastAsia="zh-CN"/>
        </w:rPr>
        <w:t>甲、乙双方任何一方在此向对方陈述如下：</w:t>
      </w:r>
    </w:p>
    <w:p>
      <w:pPr>
        <w:pStyle w:val="5"/>
        <w:spacing w:before="152" w:line="326" w:lineRule="auto"/>
        <w:ind w:right="637" w:firstLine="640"/>
        <w:jc w:val="both"/>
        <w:rPr>
          <w:lang w:eastAsia="zh-CN"/>
        </w:rPr>
      </w:pPr>
      <w:r>
        <w:rPr>
          <w:spacing w:val="-1"/>
          <w:w w:val="95"/>
          <w:lang w:eastAsia="zh-CN"/>
        </w:rPr>
        <w:t xml:space="preserve">本方为一家依法设立并合法存续的企业，有权签署并有 </w:t>
      </w:r>
      <w:r>
        <w:rPr>
          <w:spacing w:val="-1"/>
          <w:lang w:eastAsia="zh-CN"/>
        </w:rPr>
        <w:t>能力履行本合同。</w:t>
      </w:r>
    </w:p>
    <w:p>
      <w:pPr>
        <w:pStyle w:val="4"/>
        <w:tabs>
          <w:tab w:val="left" w:pos="4128"/>
        </w:tabs>
        <w:ind w:left="2844"/>
        <w:rPr>
          <w:lang w:eastAsia="zh-CN"/>
        </w:rPr>
      </w:pPr>
      <w:bookmarkStart w:id="9" w:name="_bookmark4"/>
      <w:bookmarkEnd w:id="9"/>
      <w:bookmarkStart w:id="10" w:name="第五章_双方的权利和义务"/>
      <w:bookmarkEnd w:id="10"/>
      <w:r>
        <w:rPr>
          <w:lang w:eastAsia="zh-CN"/>
        </w:rPr>
        <w:t>第五章</w:t>
      </w:r>
      <w:r>
        <w:rPr>
          <w:lang w:eastAsia="zh-CN"/>
        </w:rPr>
        <w:tab/>
      </w:r>
      <w:r>
        <w:rPr>
          <w:lang w:eastAsia="zh-CN"/>
        </w:rPr>
        <w:t>双方的权利和义务</w:t>
      </w:r>
    </w:p>
    <w:p>
      <w:pPr>
        <w:pStyle w:val="12"/>
        <w:numPr>
          <w:ilvl w:val="1"/>
          <w:numId w:val="4"/>
        </w:numPr>
        <w:tabs>
          <w:tab w:val="left" w:pos="1741"/>
        </w:tabs>
        <w:spacing w:before="233"/>
        <w:jc w:val="both"/>
        <w:rPr>
          <w:sz w:val="32"/>
        </w:rPr>
      </w:pPr>
      <w:r>
        <w:rPr>
          <w:sz w:val="32"/>
        </w:rPr>
        <w:t>甲方的权利包括：</w:t>
      </w:r>
    </w:p>
    <w:p>
      <w:pPr>
        <w:pStyle w:val="12"/>
        <w:numPr>
          <w:ilvl w:val="2"/>
          <w:numId w:val="4"/>
        </w:numPr>
        <w:tabs>
          <w:tab w:val="left" w:pos="1981"/>
        </w:tabs>
        <w:spacing w:before="152" w:line="326" w:lineRule="auto"/>
        <w:ind w:right="637" w:firstLine="640"/>
        <w:jc w:val="both"/>
        <w:rPr>
          <w:sz w:val="32"/>
          <w:lang w:eastAsia="zh-CN"/>
        </w:rPr>
      </w:pPr>
      <w:r>
        <w:rPr>
          <w:spacing w:val="-8"/>
          <w:sz w:val="32"/>
          <w:lang w:eastAsia="zh-CN"/>
        </w:rPr>
        <w:t>根据与供电企业签订的《供用电合同》</w:t>
      </w:r>
      <w:r>
        <w:rPr>
          <w:sz w:val="32"/>
          <w:lang w:eastAsia="zh-CN"/>
        </w:rPr>
        <w:t>（及其补充</w:t>
      </w:r>
      <w:r>
        <w:rPr>
          <w:spacing w:val="-1"/>
          <w:w w:val="95"/>
          <w:sz w:val="32"/>
          <w:lang w:eastAsia="zh-CN"/>
        </w:rPr>
        <w:t>协议，下同</w:t>
      </w:r>
      <w:r>
        <w:rPr>
          <w:w w:val="95"/>
          <w:sz w:val="32"/>
          <w:lang w:eastAsia="zh-CN"/>
        </w:rPr>
        <w:t>）</w:t>
      </w:r>
      <w:r>
        <w:rPr>
          <w:spacing w:val="-1"/>
          <w:w w:val="95"/>
          <w:sz w:val="32"/>
          <w:lang w:eastAsia="zh-CN"/>
        </w:rPr>
        <w:t xml:space="preserve">，按照国家法律、法规、部门规章等获取供电 </w:t>
      </w:r>
      <w:r>
        <w:rPr>
          <w:spacing w:val="-1"/>
          <w:sz w:val="32"/>
          <w:lang w:eastAsia="zh-CN"/>
        </w:rPr>
        <w:t>企业提供的有关接入和用电服务。</w:t>
      </w:r>
    </w:p>
    <w:p>
      <w:pPr>
        <w:pStyle w:val="12"/>
        <w:numPr>
          <w:ilvl w:val="2"/>
          <w:numId w:val="4"/>
        </w:numPr>
        <w:tabs>
          <w:tab w:val="left" w:pos="1981"/>
        </w:tabs>
        <w:spacing w:before="7"/>
        <w:ind w:firstLine="640"/>
        <w:jc w:val="both"/>
        <w:rPr>
          <w:sz w:val="32"/>
          <w:lang w:eastAsia="zh-CN"/>
        </w:rPr>
      </w:pPr>
      <w:r>
        <w:rPr>
          <w:spacing w:val="-6"/>
          <w:sz w:val="32"/>
          <w:lang w:eastAsia="zh-CN"/>
        </w:rPr>
        <w:t>获得乙方履行本合同义务相关的信息、资料及查阅</w:t>
      </w:r>
    </w:p>
    <w:p>
      <w:pPr>
        <w:jc w:val="both"/>
        <w:rPr>
          <w:sz w:val="32"/>
          <w:lang w:eastAsia="zh-CN"/>
        </w:rPr>
        <w:sectPr>
          <w:pgSz w:w="11910" w:h="16840"/>
          <w:pgMar w:top="1500" w:right="1160" w:bottom="1180" w:left="1180" w:header="0" w:footer="981" w:gutter="0"/>
          <w:cols w:space="720" w:num="1"/>
        </w:sectPr>
      </w:pPr>
    </w:p>
    <w:p>
      <w:pPr>
        <w:pStyle w:val="5"/>
        <w:spacing w:before="32"/>
        <w:jc w:val="both"/>
      </w:pPr>
      <w:r>
        <w:t>电能量计量数据。</w:t>
      </w:r>
    </w:p>
    <w:p>
      <w:pPr>
        <w:pStyle w:val="12"/>
        <w:numPr>
          <w:ilvl w:val="1"/>
          <w:numId w:val="5"/>
        </w:numPr>
        <w:tabs>
          <w:tab w:val="left" w:pos="1741"/>
        </w:tabs>
        <w:spacing w:before="149"/>
        <w:jc w:val="both"/>
        <w:rPr>
          <w:sz w:val="32"/>
        </w:rPr>
      </w:pPr>
      <w:r>
        <w:rPr>
          <w:sz w:val="32"/>
        </w:rPr>
        <w:t>甲方的义务包括：</w:t>
      </w:r>
    </w:p>
    <w:p>
      <w:pPr>
        <w:pStyle w:val="12"/>
        <w:numPr>
          <w:ilvl w:val="2"/>
          <w:numId w:val="5"/>
        </w:numPr>
        <w:tabs>
          <w:tab w:val="left" w:pos="1981"/>
        </w:tabs>
        <w:spacing w:before="149" w:line="328" w:lineRule="auto"/>
        <w:ind w:right="640" w:firstLine="640"/>
        <w:jc w:val="both"/>
        <w:rPr>
          <w:sz w:val="32"/>
          <w:lang w:eastAsia="zh-CN"/>
        </w:rPr>
      </w:pPr>
      <w:r>
        <w:rPr>
          <w:spacing w:val="-10"/>
          <w:w w:val="95"/>
          <w:sz w:val="32"/>
          <w:lang w:eastAsia="zh-CN"/>
        </w:rPr>
        <w:t>向乙方如实、完整提供电力交易容量、电量、负荷</w:t>
      </w:r>
      <w:r>
        <w:rPr>
          <w:spacing w:val="-11"/>
          <w:w w:val="95"/>
          <w:sz w:val="32"/>
          <w:lang w:eastAsia="zh-CN"/>
        </w:rPr>
        <w:t>曲线及其他生产运行等用电信息，向乙方提供与履行本合同</w:t>
      </w:r>
      <w:r>
        <w:rPr>
          <w:spacing w:val="-11"/>
          <w:sz w:val="32"/>
          <w:lang w:eastAsia="zh-CN"/>
        </w:rPr>
        <w:t>相关的其他信息。</w:t>
      </w:r>
    </w:p>
    <w:p>
      <w:pPr>
        <w:pStyle w:val="12"/>
        <w:numPr>
          <w:ilvl w:val="2"/>
          <w:numId w:val="5"/>
        </w:numPr>
        <w:tabs>
          <w:tab w:val="left" w:pos="1981"/>
        </w:tabs>
        <w:spacing w:line="328" w:lineRule="auto"/>
        <w:ind w:right="544" w:firstLine="640"/>
        <w:jc w:val="both"/>
        <w:rPr>
          <w:sz w:val="32"/>
          <w:lang w:eastAsia="zh-CN"/>
        </w:rPr>
      </w:pPr>
      <w:r>
        <w:rPr>
          <w:sz w:val="32"/>
          <w:lang w:eastAsia="zh-CN"/>
        </w:rPr>
        <w:t xml:space="preserve">按电力相关规定与供电企业签署《供用电合同》， </w:t>
      </w:r>
      <w:r>
        <w:rPr>
          <w:spacing w:val="-3"/>
          <w:sz w:val="32"/>
          <w:lang w:eastAsia="zh-CN"/>
        </w:rPr>
        <w:t>按时缴纳电费，包括：电能量电费、输配电费、政府基金附加费等相关费用。</w:t>
      </w:r>
    </w:p>
    <w:p>
      <w:pPr>
        <w:pStyle w:val="12"/>
        <w:numPr>
          <w:ilvl w:val="1"/>
          <w:numId w:val="5"/>
        </w:numPr>
        <w:tabs>
          <w:tab w:val="left" w:pos="1741"/>
        </w:tabs>
        <w:spacing w:line="405" w:lineRule="exact"/>
        <w:jc w:val="both"/>
        <w:rPr>
          <w:sz w:val="32"/>
        </w:rPr>
      </w:pPr>
      <w:r>
        <w:rPr>
          <w:sz w:val="32"/>
        </w:rPr>
        <w:t>乙方的权利包括：</w:t>
      </w:r>
    </w:p>
    <w:p>
      <w:pPr>
        <w:pStyle w:val="5"/>
        <w:spacing w:before="146" w:line="326" w:lineRule="auto"/>
        <w:ind w:right="640" w:firstLine="640"/>
        <w:jc w:val="both"/>
        <w:rPr>
          <w:lang w:eastAsia="zh-CN"/>
        </w:rPr>
      </w:pPr>
      <w:r>
        <w:rPr>
          <w:spacing w:val="-1"/>
          <w:w w:val="95"/>
          <w:lang w:eastAsia="zh-CN"/>
        </w:rPr>
        <w:t xml:space="preserve">获得甲方履行本合同义务相关的信息、资料及查阅计量 </w:t>
      </w:r>
      <w:r>
        <w:rPr>
          <w:spacing w:val="-1"/>
          <w:lang w:eastAsia="zh-CN"/>
        </w:rPr>
        <w:t>电量数据。</w:t>
      </w:r>
    </w:p>
    <w:p>
      <w:pPr>
        <w:pStyle w:val="12"/>
        <w:numPr>
          <w:ilvl w:val="1"/>
          <w:numId w:val="5"/>
        </w:numPr>
        <w:tabs>
          <w:tab w:val="left" w:pos="1741"/>
        </w:tabs>
        <w:spacing w:before="4"/>
        <w:jc w:val="both"/>
        <w:rPr>
          <w:sz w:val="32"/>
        </w:rPr>
      </w:pPr>
      <w:r>
        <w:rPr>
          <w:sz w:val="32"/>
        </w:rPr>
        <w:t>乙方的义务包括：</w:t>
      </w:r>
    </w:p>
    <w:p>
      <w:pPr>
        <w:pStyle w:val="12"/>
        <w:numPr>
          <w:ilvl w:val="2"/>
          <w:numId w:val="5"/>
        </w:numPr>
        <w:tabs>
          <w:tab w:val="left" w:pos="1981"/>
        </w:tabs>
        <w:spacing w:before="151" w:line="326" w:lineRule="auto"/>
        <w:ind w:right="637" w:firstLine="640"/>
        <w:jc w:val="both"/>
        <w:rPr>
          <w:sz w:val="32"/>
          <w:lang w:eastAsia="zh-CN"/>
        </w:rPr>
      </w:pPr>
      <w:r>
        <w:rPr>
          <w:spacing w:val="-9"/>
          <w:w w:val="95"/>
          <w:sz w:val="32"/>
          <w:lang w:eastAsia="zh-CN"/>
        </w:rPr>
        <w:t xml:space="preserve">按照国家有关法律、规定和技术规范，为甲方提供电力交易代理服务，做好需求侧管理，参与批发市场交易并 </w:t>
      </w:r>
      <w:r>
        <w:rPr>
          <w:spacing w:val="-9"/>
          <w:sz w:val="32"/>
          <w:lang w:eastAsia="zh-CN"/>
        </w:rPr>
        <w:t>按规定结算。</w:t>
      </w:r>
    </w:p>
    <w:p>
      <w:pPr>
        <w:pStyle w:val="12"/>
        <w:numPr>
          <w:ilvl w:val="2"/>
          <w:numId w:val="5"/>
        </w:numPr>
        <w:tabs>
          <w:tab w:val="left" w:pos="2060"/>
        </w:tabs>
        <w:spacing w:before="7" w:line="326" w:lineRule="auto"/>
        <w:ind w:right="784" w:firstLine="640"/>
        <w:jc w:val="both"/>
        <w:rPr>
          <w:sz w:val="32"/>
          <w:lang w:eastAsia="zh-CN"/>
        </w:rPr>
      </w:pPr>
      <w:r>
        <w:rPr>
          <w:sz w:val="32"/>
          <w:lang w:eastAsia="zh-CN"/>
        </w:rPr>
        <w:t>向甲方宣传解释相关电力市场结算规则、流程等要求，协助甲方及时签定零售合同、固化零售结算模式。</w:t>
      </w:r>
    </w:p>
    <w:p>
      <w:pPr>
        <w:pStyle w:val="4"/>
        <w:tabs>
          <w:tab w:val="left" w:pos="4291"/>
        </w:tabs>
        <w:ind w:left="3005"/>
      </w:pPr>
      <w:bookmarkStart w:id="11" w:name="_bookmark5"/>
      <w:bookmarkEnd w:id="11"/>
      <w:bookmarkStart w:id="12" w:name="第六章_电能量零售结算"/>
      <w:bookmarkEnd w:id="12"/>
      <w:r>
        <w:t>第六章</w:t>
      </w:r>
      <w:r>
        <w:tab/>
      </w:r>
      <w:r>
        <w:t>电能量零售结算</w:t>
      </w:r>
    </w:p>
    <w:p>
      <w:pPr>
        <w:pStyle w:val="12"/>
        <w:numPr>
          <w:ilvl w:val="1"/>
          <w:numId w:val="6"/>
        </w:numPr>
        <w:tabs>
          <w:tab w:val="left" w:pos="1741"/>
        </w:tabs>
        <w:spacing w:before="234" w:line="328" w:lineRule="auto"/>
        <w:ind w:right="786" w:firstLine="640"/>
        <w:jc w:val="both"/>
        <w:rPr>
          <w:sz w:val="32"/>
          <w:lang w:eastAsia="zh-CN"/>
        </w:rPr>
      </w:pPr>
      <w:r>
        <w:rPr>
          <w:w w:val="95"/>
          <w:sz w:val="32"/>
          <w:lang w:eastAsia="zh-CN"/>
        </w:rPr>
        <w:t xml:space="preserve">本合同按照《广东电力市场结算实施细则》（最新 </w:t>
      </w:r>
      <w:r>
        <w:rPr>
          <w:sz w:val="32"/>
          <w:lang w:eastAsia="zh-CN"/>
        </w:rPr>
        <w:t>版）以及现货运行有关要求进行结算。</w:t>
      </w:r>
    </w:p>
    <w:p>
      <w:pPr>
        <w:pStyle w:val="4"/>
        <w:numPr>
          <w:ilvl w:val="1"/>
          <w:numId w:val="6"/>
        </w:numPr>
        <w:tabs>
          <w:tab w:val="left" w:pos="1741"/>
        </w:tabs>
        <w:spacing w:line="466" w:lineRule="exact"/>
        <w:ind w:firstLine="640"/>
        <w:jc w:val="both"/>
        <w:rPr>
          <w:rFonts w:ascii="宋体" w:hAnsi="宋体" w:eastAsia="宋体" w:cs="宋体"/>
          <w:b w:val="0"/>
          <w:bCs w:val="0"/>
          <w:szCs w:val="22"/>
          <w:lang w:eastAsia="zh-CN"/>
        </w:rPr>
      </w:pPr>
      <w:r>
        <w:rPr>
          <w:rFonts w:hint="eastAsia" w:ascii="宋体" w:hAnsi="宋体" w:eastAsia="宋体" w:cs="宋体"/>
          <w:b w:val="0"/>
          <w:bCs w:val="0"/>
          <w:szCs w:val="22"/>
          <w:lang w:eastAsia="zh-CN"/>
        </w:rPr>
        <w:t>本合同约定价格为电能量价格、绿电环境溢价价格</w:t>
      </w:r>
    </w:p>
    <w:p>
      <w:pPr>
        <w:spacing w:line="574" w:lineRule="exact"/>
        <w:ind w:left="620"/>
        <w:jc w:val="both"/>
        <w:rPr>
          <w:sz w:val="32"/>
          <w:lang w:eastAsia="zh-CN"/>
        </w:rPr>
      </w:pPr>
      <w:r>
        <w:rPr>
          <w:rFonts w:hint="eastAsia"/>
          <w:sz w:val="32"/>
          <w:lang w:eastAsia="zh-CN"/>
        </w:rPr>
        <w:t>（可选），非用户最终到户电价。除上述约定电价电费外，</w:t>
      </w:r>
    </w:p>
    <w:p>
      <w:pPr>
        <w:pStyle w:val="5"/>
        <w:spacing w:before="78" w:line="326" w:lineRule="auto"/>
        <w:ind w:right="640"/>
        <w:jc w:val="both"/>
        <w:rPr>
          <w:lang w:eastAsia="zh-CN"/>
        </w:rPr>
      </w:pPr>
      <w:r>
        <w:rPr>
          <w:w w:val="95"/>
          <w:lang w:eastAsia="zh-CN"/>
        </w:rPr>
        <w:t>甲方购电电费按照政策规定还包括输配电费、尖峰加价电费</w:t>
      </w:r>
      <w:r>
        <w:rPr>
          <w:spacing w:val="-4"/>
          <w:lang w:eastAsia="zh-CN"/>
        </w:rPr>
        <w:t>、变动成本补偿分摊电费、需求响应分摊电费、峰谷平衡</w:t>
      </w:r>
      <w:r>
        <w:rPr>
          <w:w w:val="95"/>
          <w:lang w:eastAsia="zh-CN"/>
        </w:rPr>
        <w:t>费用、一次能源价格波动疏导分摊电费、政府性基金及附加等，各项分摊电费由电网公司和交易中心按照政策规定执行</w:t>
      </w:r>
      <w:r>
        <w:rPr>
          <w:lang w:eastAsia="zh-CN"/>
        </w:rPr>
        <w:t>。</w:t>
      </w:r>
    </w:p>
    <w:p>
      <w:pPr>
        <w:pStyle w:val="12"/>
        <w:numPr>
          <w:ilvl w:val="1"/>
          <w:numId w:val="6"/>
        </w:numPr>
        <w:tabs>
          <w:tab w:val="left" w:pos="1746"/>
        </w:tabs>
        <w:spacing w:line="395" w:lineRule="exact"/>
        <w:ind w:left="1745" w:hanging="485"/>
        <w:jc w:val="both"/>
        <w:rPr>
          <w:sz w:val="32"/>
          <w:lang w:eastAsia="zh-CN"/>
        </w:rPr>
      </w:pPr>
      <w:r>
        <w:rPr>
          <w:spacing w:val="5"/>
          <w:sz w:val="32"/>
          <w:lang w:eastAsia="zh-CN"/>
        </w:rPr>
        <w:t>实际结算电量以供电企业电力计量装置采集并推送</w:t>
      </w:r>
    </w:p>
    <w:p>
      <w:pPr>
        <w:pStyle w:val="5"/>
        <w:spacing w:before="214" w:line="364" w:lineRule="auto"/>
        <w:ind w:right="640"/>
        <w:jc w:val="both"/>
        <w:rPr>
          <w:lang w:eastAsia="zh-CN"/>
        </w:rPr>
      </w:pPr>
      <w:r>
        <w:rPr>
          <w:spacing w:val="10"/>
          <w:lang w:eastAsia="zh-CN"/>
        </w:rPr>
        <w:t>至广东电力交易中心发布的实际用电量为准。现货运行期</w:t>
      </w:r>
      <w:r>
        <w:rPr>
          <w:spacing w:val="-1"/>
          <w:w w:val="95"/>
          <w:lang w:eastAsia="zh-CN"/>
        </w:rPr>
        <w:t>间，甲乙双方约定按以下零售模式进行月度结算，甲方电能</w:t>
      </w:r>
      <w:r>
        <w:rPr>
          <w:spacing w:val="-3"/>
          <w:w w:val="95"/>
          <w:lang w:eastAsia="zh-CN"/>
        </w:rPr>
        <w:t>量电费支出等于固定价格模式、市场联动模式、煤电联动模式</w:t>
      </w:r>
      <w:r>
        <w:rPr>
          <w:w w:val="95"/>
          <w:lang w:eastAsia="zh-CN"/>
        </w:rPr>
        <w:t>（可选</w:t>
      </w:r>
      <w:r>
        <w:rPr>
          <w:spacing w:val="-3"/>
          <w:w w:val="95"/>
          <w:lang w:eastAsia="zh-CN"/>
        </w:rPr>
        <w:t>）</w:t>
      </w:r>
      <w:r>
        <w:rPr>
          <w:w w:val="95"/>
          <w:lang w:eastAsia="zh-CN"/>
        </w:rPr>
        <w:t>与上浮电费（可选</w:t>
      </w:r>
      <w:r>
        <w:rPr>
          <w:spacing w:val="-3"/>
          <w:w w:val="95"/>
          <w:lang w:eastAsia="zh-CN"/>
        </w:rPr>
        <w:t>）</w:t>
      </w:r>
      <w:r>
        <w:rPr>
          <w:w w:val="95"/>
          <w:lang w:eastAsia="zh-CN"/>
        </w:rPr>
        <w:t>之和，具体量价等参数约定</w:t>
      </w:r>
      <w:r>
        <w:rPr>
          <w:spacing w:val="-21"/>
          <w:lang w:eastAsia="zh-CN"/>
        </w:rPr>
        <w:t xml:space="preserve">见附表 </w:t>
      </w:r>
      <w:r>
        <w:rPr>
          <w:rFonts w:ascii="Times New Roman" w:eastAsia="Times New Roman"/>
          <w:lang w:eastAsia="zh-CN"/>
        </w:rPr>
        <w:t>1</w:t>
      </w:r>
      <w:r>
        <w:rPr>
          <w:lang w:eastAsia="zh-CN"/>
        </w:rPr>
        <w:t>。</w:t>
      </w:r>
    </w:p>
    <w:p>
      <w:pPr>
        <w:pStyle w:val="12"/>
        <w:numPr>
          <w:ilvl w:val="2"/>
          <w:numId w:val="6"/>
        </w:numPr>
        <w:tabs>
          <w:tab w:val="left" w:pos="1981"/>
          <w:tab w:val="left" w:pos="3305"/>
        </w:tabs>
        <w:spacing w:before="25" w:line="326" w:lineRule="auto"/>
        <w:ind w:right="2925" w:firstLine="0"/>
        <w:jc w:val="both"/>
        <w:rPr>
          <w:rFonts w:ascii="Wingdings" w:hAnsi="Wingdings"/>
          <w:sz w:val="32"/>
          <w:lang w:eastAsia="zh-CN"/>
        </w:rPr>
      </w:pPr>
      <w:r>
        <w:rPr>
          <w:sz w:val="32"/>
          <w:lang w:eastAsia="zh-CN"/>
        </w:rPr>
        <w:t>固定价格</w:t>
      </w:r>
      <w:r>
        <w:rPr>
          <w:rFonts w:ascii="Times New Roman" w:hAnsi="Times New Roman"/>
          <w:sz w:val="32"/>
          <w:lang w:eastAsia="zh-CN"/>
        </w:rPr>
        <w:t>+</w:t>
      </w:r>
      <w:r>
        <w:rPr>
          <w:sz w:val="32"/>
          <w:lang w:eastAsia="zh-CN"/>
        </w:rPr>
        <w:t>市场联动（必选条款） 固定价格</w:t>
      </w:r>
      <w:r>
        <w:rPr>
          <w:rFonts w:ascii="Wingdings" w:hAnsi="Wingdings"/>
          <w:sz w:val="32"/>
        </w:rPr>
        <w:sym w:font="Wingdings" w:char="00FE"/>
      </w:r>
      <w:r>
        <w:rPr>
          <w:rFonts w:ascii="Times New Roman" w:hAnsi="Times New Roman"/>
          <w:sz w:val="32"/>
          <w:lang w:eastAsia="zh-CN"/>
        </w:rPr>
        <w:tab/>
      </w:r>
      <w:r>
        <w:rPr>
          <w:sz w:val="32"/>
          <w:lang w:eastAsia="zh-CN"/>
        </w:rPr>
        <w:t>市场联动</w:t>
      </w:r>
      <w:r>
        <w:rPr>
          <w:rFonts w:ascii="Wingdings" w:hAnsi="Wingdings"/>
          <w:sz w:val="32"/>
        </w:rPr>
        <w:sym w:font="Wingdings" w:char="00FE"/>
      </w:r>
    </w:p>
    <w:p>
      <w:pPr>
        <w:pStyle w:val="5"/>
        <w:spacing w:before="4" w:line="328" w:lineRule="auto"/>
        <w:ind w:right="640" w:firstLine="640"/>
        <w:jc w:val="both"/>
        <w:rPr>
          <w:lang w:eastAsia="zh-CN"/>
        </w:rPr>
      </w:pPr>
      <w:r>
        <w:rPr>
          <w:w w:val="95"/>
          <w:lang w:eastAsia="zh-CN"/>
        </w:rPr>
        <w:t>固定价格电费</w:t>
      </w:r>
      <w:r>
        <w:rPr>
          <w:rFonts w:ascii="Times New Roman" w:hAnsi="Times New Roman" w:eastAsia="Times New Roman"/>
          <w:w w:val="95"/>
          <w:lang w:eastAsia="zh-CN"/>
        </w:rPr>
        <w:t>=</w:t>
      </w:r>
      <w:r>
        <w:rPr>
          <w:spacing w:val="-10"/>
          <w:w w:val="95"/>
          <w:lang w:eastAsia="zh-CN"/>
        </w:rPr>
        <w:t>用户</w:t>
      </w:r>
      <w:r>
        <w:rPr>
          <w:w w:val="95"/>
          <w:lang w:eastAsia="zh-CN"/>
        </w:rPr>
        <w:t>（峰</w:t>
      </w:r>
      <w:r>
        <w:rPr>
          <w:rFonts w:ascii="Times New Roman" w:hAnsi="Times New Roman" w:eastAsia="Times New Roman"/>
          <w:w w:val="95"/>
          <w:lang w:eastAsia="zh-CN"/>
        </w:rPr>
        <w:t>/</w:t>
      </w:r>
      <w:r>
        <w:rPr>
          <w:w w:val="95"/>
          <w:lang w:eastAsia="zh-CN"/>
        </w:rPr>
        <w:t>平</w:t>
      </w:r>
      <w:r>
        <w:rPr>
          <w:rFonts w:ascii="Times New Roman" w:hAnsi="Times New Roman" w:eastAsia="Times New Roman"/>
          <w:w w:val="95"/>
          <w:lang w:eastAsia="zh-CN"/>
        </w:rPr>
        <w:t>/</w:t>
      </w:r>
      <w:r>
        <w:rPr>
          <w:w w:val="95"/>
          <w:lang w:eastAsia="zh-CN"/>
        </w:rPr>
        <w:t>谷</w:t>
      </w:r>
      <w:r>
        <w:rPr>
          <w:lang w:eastAsia="zh-CN"/>
        </w:rPr>
        <w:t>）</w:t>
      </w:r>
      <w:r>
        <w:rPr>
          <w:w w:val="95"/>
          <w:lang w:eastAsia="zh-CN"/>
        </w:rPr>
        <w:t>实际用电量</w:t>
      </w:r>
      <w:r>
        <w:rPr>
          <w:rFonts w:ascii="Times New Roman" w:hAnsi="Times New Roman" w:eastAsia="Times New Roman"/>
          <w:w w:val="95"/>
          <w:lang w:eastAsia="zh-CN"/>
        </w:rPr>
        <w:t>×</w:t>
      </w:r>
      <w:r>
        <w:rPr>
          <w:w w:val="95"/>
          <w:lang w:eastAsia="zh-CN"/>
        </w:rPr>
        <w:t xml:space="preserve">合同约定的 </w:t>
      </w:r>
      <w:r>
        <w:rPr>
          <w:lang w:eastAsia="zh-CN"/>
        </w:rPr>
        <w:t>电量比例</w:t>
      </w:r>
      <w:r>
        <w:rPr>
          <w:rFonts w:ascii="Times New Roman" w:hAnsi="Times New Roman" w:eastAsia="Times New Roman"/>
          <w:lang w:eastAsia="zh-CN"/>
        </w:rPr>
        <w:t>×</w:t>
      </w:r>
      <w:r>
        <w:rPr>
          <w:lang w:eastAsia="zh-CN"/>
        </w:rPr>
        <w:t>合同约定的固定（峰</w:t>
      </w:r>
      <w:r>
        <w:rPr>
          <w:rFonts w:ascii="Times New Roman" w:hAnsi="Times New Roman" w:eastAsia="Times New Roman"/>
          <w:lang w:eastAsia="zh-CN"/>
        </w:rPr>
        <w:t>/</w:t>
      </w:r>
      <w:r>
        <w:rPr>
          <w:lang w:eastAsia="zh-CN"/>
        </w:rPr>
        <w:t>平</w:t>
      </w:r>
      <w:r>
        <w:rPr>
          <w:rFonts w:ascii="Times New Roman" w:hAnsi="Times New Roman" w:eastAsia="Times New Roman"/>
          <w:lang w:eastAsia="zh-CN"/>
        </w:rPr>
        <w:t>/</w:t>
      </w:r>
      <w:r>
        <w:rPr>
          <w:lang w:eastAsia="zh-CN"/>
        </w:rPr>
        <w:t>谷</w:t>
      </w:r>
      <w:r>
        <w:rPr>
          <w:rFonts w:ascii="Times New Roman" w:hAnsi="Times New Roman" w:eastAsia="Times New Roman"/>
          <w:lang w:eastAsia="zh-CN"/>
        </w:rPr>
        <w:t>)</w:t>
      </w:r>
      <w:r>
        <w:rPr>
          <w:lang w:eastAsia="zh-CN"/>
        </w:rPr>
        <w:t>价格</w:t>
      </w:r>
    </w:p>
    <w:p>
      <w:pPr>
        <w:pStyle w:val="5"/>
        <w:spacing w:line="407" w:lineRule="exact"/>
        <w:ind w:left="1260"/>
        <w:jc w:val="both"/>
        <w:rPr>
          <w:lang w:eastAsia="zh-CN"/>
        </w:rPr>
      </w:pPr>
      <w:r>
        <w:rPr>
          <w:lang w:eastAsia="zh-CN"/>
        </w:rPr>
        <w:t>其中：峰（谷）价格</w:t>
      </w:r>
      <w:r>
        <w:rPr>
          <w:rFonts w:ascii="Times New Roman" w:hAnsi="Times New Roman" w:eastAsia="Times New Roman"/>
          <w:lang w:eastAsia="zh-CN"/>
        </w:rPr>
        <w:t>=</w:t>
      </w:r>
      <w:r>
        <w:rPr>
          <w:lang w:eastAsia="zh-CN"/>
        </w:rPr>
        <w:t>平段价格</w:t>
      </w:r>
      <w:r>
        <w:rPr>
          <w:rFonts w:ascii="Times New Roman" w:hAnsi="Times New Roman" w:eastAsia="Times New Roman"/>
          <w:lang w:eastAsia="zh-CN"/>
        </w:rPr>
        <w:t>×</w:t>
      </w:r>
      <w:r>
        <w:rPr>
          <w:lang w:eastAsia="zh-CN"/>
        </w:rPr>
        <w:t>峰（谷）系数</w:t>
      </w:r>
    </w:p>
    <w:p>
      <w:pPr>
        <w:pStyle w:val="5"/>
        <w:spacing w:before="149" w:line="328" w:lineRule="auto"/>
        <w:ind w:right="640" w:firstLine="640"/>
        <w:jc w:val="both"/>
        <w:rPr>
          <w:lang w:eastAsia="zh-CN"/>
        </w:rPr>
      </w:pPr>
      <w:r>
        <w:rPr>
          <w:w w:val="95"/>
          <w:lang w:eastAsia="zh-CN"/>
        </w:rPr>
        <w:t>市场联动电费</w:t>
      </w:r>
      <w:r>
        <w:rPr>
          <w:rFonts w:ascii="Times New Roman" w:hAnsi="Times New Roman" w:eastAsia="Times New Roman"/>
          <w:w w:val="95"/>
          <w:lang w:eastAsia="zh-CN"/>
        </w:rPr>
        <w:t>=</w:t>
      </w:r>
      <w:r>
        <w:rPr>
          <w:spacing w:val="-10"/>
          <w:w w:val="95"/>
          <w:lang w:eastAsia="zh-CN"/>
        </w:rPr>
        <w:t>用户</w:t>
      </w:r>
      <w:r>
        <w:rPr>
          <w:w w:val="95"/>
          <w:lang w:eastAsia="zh-CN"/>
        </w:rPr>
        <w:t>（峰</w:t>
      </w:r>
      <w:r>
        <w:rPr>
          <w:rFonts w:ascii="Times New Roman" w:hAnsi="Times New Roman" w:eastAsia="Times New Roman"/>
          <w:w w:val="95"/>
          <w:lang w:eastAsia="zh-CN"/>
        </w:rPr>
        <w:t>/</w:t>
      </w:r>
      <w:r>
        <w:rPr>
          <w:w w:val="95"/>
          <w:lang w:eastAsia="zh-CN"/>
        </w:rPr>
        <w:t>平</w:t>
      </w:r>
      <w:r>
        <w:rPr>
          <w:rFonts w:ascii="Times New Roman" w:hAnsi="Times New Roman" w:eastAsia="Times New Roman"/>
          <w:w w:val="95"/>
          <w:lang w:eastAsia="zh-CN"/>
        </w:rPr>
        <w:t>/</w:t>
      </w:r>
      <w:r>
        <w:rPr>
          <w:w w:val="95"/>
          <w:lang w:eastAsia="zh-CN"/>
        </w:rPr>
        <w:t>谷</w:t>
      </w:r>
      <w:r>
        <w:rPr>
          <w:lang w:eastAsia="zh-CN"/>
        </w:rPr>
        <w:t>）</w:t>
      </w:r>
      <w:r>
        <w:rPr>
          <w:w w:val="95"/>
          <w:lang w:eastAsia="zh-CN"/>
        </w:rPr>
        <w:t>实际用电量</w:t>
      </w:r>
      <w:r>
        <w:rPr>
          <w:rFonts w:ascii="Times New Roman" w:hAnsi="Times New Roman" w:eastAsia="Times New Roman"/>
          <w:w w:val="95"/>
          <w:lang w:eastAsia="zh-CN"/>
        </w:rPr>
        <w:t>×</w:t>
      </w:r>
      <w:r>
        <w:rPr>
          <w:w w:val="95"/>
          <w:lang w:eastAsia="zh-CN"/>
        </w:rPr>
        <w:t xml:space="preserve">合同约定的 </w:t>
      </w:r>
      <w:r>
        <w:rPr>
          <w:lang w:eastAsia="zh-CN"/>
        </w:rPr>
        <w:t>电量比例</w:t>
      </w:r>
      <w:r>
        <w:rPr>
          <w:rFonts w:ascii="Times New Roman" w:hAnsi="Times New Roman" w:eastAsia="Times New Roman"/>
          <w:lang w:eastAsia="zh-CN"/>
        </w:rPr>
        <w:t>×</w:t>
      </w:r>
      <w:r>
        <w:rPr>
          <w:lang w:eastAsia="zh-CN"/>
        </w:rPr>
        <w:t>合同约定的市场联动（峰</w:t>
      </w:r>
      <w:r>
        <w:rPr>
          <w:rFonts w:ascii="Times New Roman" w:hAnsi="Times New Roman" w:eastAsia="Times New Roman"/>
          <w:lang w:eastAsia="zh-CN"/>
        </w:rPr>
        <w:t>/</w:t>
      </w:r>
      <w:r>
        <w:rPr>
          <w:lang w:eastAsia="zh-CN"/>
        </w:rPr>
        <w:t>平</w:t>
      </w:r>
      <w:r>
        <w:rPr>
          <w:rFonts w:ascii="Times New Roman" w:hAnsi="Times New Roman" w:eastAsia="Times New Roman"/>
          <w:lang w:eastAsia="zh-CN"/>
        </w:rPr>
        <w:t>/</w:t>
      </w:r>
      <w:r>
        <w:rPr>
          <w:lang w:eastAsia="zh-CN"/>
        </w:rPr>
        <w:t>谷）价格</w:t>
      </w:r>
      <w:r>
        <w:rPr>
          <w:rFonts w:hint="eastAsia"/>
          <w:lang w:eastAsia="zh-CN"/>
        </w:rPr>
        <w:t>。</w:t>
      </w:r>
    </w:p>
    <w:p>
      <w:pPr>
        <w:pStyle w:val="5"/>
        <w:spacing w:line="328" w:lineRule="auto"/>
        <w:ind w:right="625" w:firstLine="640"/>
        <w:jc w:val="both"/>
        <w:rPr>
          <w:lang w:eastAsia="zh-CN"/>
        </w:rPr>
      </w:pPr>
      <w:r>
        <w:rPr>
          <w:w w:val="95"/>
          <w:lang w:eastAsia="zh-CN"/>
        </w:rPr>
        <w:t xml:space="preserve">其中：市场联动价格可选项为：日前市场月度综合价、 </w:t>
      </w:r>
      <w:r>
        <w:rPr>
          <w:spacing w:val="-2"/>
          <w:lang w:eastAsia="zh-CN"/>
        </w:rPr>
        <w:t>月度集中竞争交易综合价、月度中长期交易综合价以及月度</w:t>
      </w:r>
      <w:r>
        <w:rPr>
          <w:spacing w:val="-9"/>
          <w:lang w:eastAsia="zh-CN"/>
        </w:rPr>
        <w:t>及现货偏差电量加权平均价</w:t>
      </w:r>
      <w:r>
        <w:rPr>
          <w:rFonts w:ascii="Times New Roman" w:eastAsia="Times New Roman"/>
          <w:spacing w:val="-1"/>
          <w:lang w:eastAsia="zh-CN"/>
        </w:rPr>
        <w:t xml:space="preserve"> </w:t>
      </w:r>
      <w:r>
        <w:rPr>
          <w:rFonts w:ascii="Times New Roman" w:eastAsia="Times New Roman"/>
          <w:lang w:eastAsia="zh-CN"/>
        </w:rPr>
        <w:t>4</w:t>
      </w:r>
      <w:r>
        <w:rPr>
          <w:rFonts w:ascii="Times New Roman" w:eastAsia="Times New Roman"/>
          <w:spacing w:val="-1"/>
          <w:lang w:eastAsia="zh-CN"/>
        </w:rPr>
        <w:t xml:space="preserve"> </w:t>
      </w:r>
      <w:r>
        <w:rPr>
          <w:lang w:eastAsia="zh-CN"/>
        </w:rPr>
        <w:t>类。</w:t>
      </w:r>
    </w:p>
    <w:p>
      <w:pPr>
        <w:pStyle w:val="12"/>
        <w:numPr>
          <w:ilvl w:val="2"/>
          <w:numId w:val="6"/>
        </w:numPr>
        <w:tabs>
          <w:tab w:val="left" w:pos="1981"/>
        </w:tabs>
        <w:spacing w:line="405" w:lineRule="exact"/>
        <w:ind w:firstLine="0"/>
        <w:jc w:val="both"/>
        <w:rPr>
          <w:sz w:val="32"/>
        </w:rPr>
      </w:pPr>
      <w:r>
        <w:rPr>
          <w:sz w:val="32"/>
        </w:rPr>
        <w:t>煤电联动模式</w:t>
      </w:r>
    </w:p>
    <w:p>
      <w:pPr>
        <w:pStyle w:val="5"/>
        <w:spacing w:before="146"/>
        <w:ind w:left="1260"/>
        <w:jc w:val="both"/>
        <w:rPr>
          <w:rFonts w:ascii="Wingdings" w:hAnsi="Wingdings"/>
          <w:lang w:eastAsia="zh-CN"/>
        </w:rPr>
      </w:pPr>
      <w:r>
        <w:rPr>
          <w:lang w:eastAsia="zh-CN"/>
        </w:rPr>
        <w:t>煤电联动条款（可选条款）</w:t>
      </w:r>
      <w:r>
        <w:rPr/>
        <w:sym w:font="Wingdings" w:char="00FD"/>
      </w:r>
    </w:p>
    <w:p>
      <w:pPr>
        <w:pStyle w:val="5"/>
        <w:spacing w:before="152"/>
        <w:ind w:left="1260"/>
        <w:jc w:val="both"/>
        <w:rPr>
          <w:lang w:eastAsia="zh-CN"/>
        </w:rPr>
      </w:pPr>
      <w:r>
        <w:rPr>
          <w:lang w:eastAsia="zh-CN"/>
        </w:rPr>
        <w:t>煤电联动电费</w:t>
      </w:r>
      <w:r>
        <w:rPr>
          <w:rFonts w:ascii="Times New Roman" w:hAnsi="Times New Roman" w:eastAsia="Times New Roman"/>
          <w:lang w:eastAsia="zh-CN"/>
        </w:rPr>
        <w:t>=</w:t>
      </w:r>
      <w:r>
        <w:rPr>
          <w:lang w:eastAsia="zh-CN"/>
        </w:rPr>
        <w:t>合同约定固定价格部分电量</w:t>
      </w:r>
      <w:r>
        <w:rPr>
          <w:rFonts w:ascii="Times New Roman" w:hAnsi="Times New Roman" w:eastAsia="Times New Roman"/>
          <w:lang w:eastAsia="zh-CN"/>
        </w:rPr>
        <w:t>×</w:t>
      </w:r>
      <w:r>
        <w:rPr>
          <w:lang w:eastAsia="zh-CN"/>
        </w:rPr>
        <w:t>（结算月</w:t>
      </w:r>
    </w:p>
    <w:p>
      <w:pPr>
        <w:pStyle w:val="5"/>
        <w:spacing w:before="149"/>
        <w:jc w:val="both"/>
        <w:rPr>
          <w:lang w:eastAsia="zh-CN"/>
        </w:rPr>
      </w:pPr>
      <w:r>
        <w:rPr>
          <w:rFonts w:ascii="Times New Roman" w:hAnsi="Times New Roman" w:eastAsia="Times New Roman"/>
          <w:lang w:eastAsia="zh-CN"/>
        </w:rPr>
        <w:t xml:space="preserve">CECI </w:t>
      </w:r>
      <w:r>
        <w:rPr>
          <w:lang w:eastAsia="zh-CN"/>
        </w:rPr>
        <w:t>价格指数</w:t>
      </w:r>
      <w:r>
        <w:rPr>
          <w:rFonts w:ascii="Times New Roman" w:hAnsi="Times New Roman" w:eastAsia="Times New Roman"/>
          <w:lang w:eastAsia="zh-CN"/>
        </w:rPr>
        <w:t>-</w:t>
      </w:r>
      <w:r>
        <w:rPr>
          <w:lang w:eastAsia="zh-CN"/>
        </w:rPr>
        <w:t xml:space="preserve">合同签约月 </w:t>
      </w:r>
      <w:r>
        <w:rPr>
          <w:rFonts w:ascii="Times New Roman" w:hAnsi="Times New Roman" w:eastAsia="Times New Roman"/>
          <w:lang w:eastAsia="zh-CN"/>
        </w:rPr>
        <w:t xml:space="preserve">CECI </w:t>
      </w:r>
      <w:r>
        <w:rPr>
          <w:lang w:eastAsia="zh-CN"/>
        </w:rPr>
        <w:t>价格指数）</w:t>
      </w:r>
      <w:r>
        <w:rPr>
          <w:rFonts w:ascii="Times New Roman" w:hAnsi="Times New Roman" w:eastAsia="Times New Roman"/>
          <w:lang w:eastAsia="zh-CN"/>
        </w:rPr>
        <w:t>/100×</w:t>
      </w:r>
      <w:r>
        <w:rPr>
          <w:lang w:eastAsia="zh-CN"/>
        </w:rPr>
        <w:t>浮动价</w:t>
      </w:r>
    </w:p>
    <w:p>
      <w:pPr>
        <w:pStyle w:val="12"/>
        <w:numPr>
          <w:ilvl w:val="2"/>
          <w:numId w:val="6"/>
        </w:numPr>
        <w:tabs>
          <w:tab w:val="left" w:pos="1981"/>
        </w:tabs>
        <w:spacing w:before="149"/>
        <w:ind w:firstLine="0"/>
        <w:jc w:val="both"/>
        <w:rPr>
          <w:rFonts w:ascii="Wingdings" w:hAnsi="Wingdings"/>
          <w:sz w:val="32"/>
          <w:lang w:eastAsia="zh-CN"/>
        </w:rPr>
      </w:pPr>
      <w:r>
        <w:rPr>
          <w:sz w:val="32"/>
          <w:lang w:eastAsia="zh-CN"/>
        </w:rPr>
        <w:t>上浮电费模式（可选条款）</w:t>
      </w:r>
      <w:r>
        <w:rPr>
          <w:rFonts w:ascii="Wingdings" w:hAnsi="Wingdings"/>
          <w:sz w:val="32"/>
        </w:rPr>
        <w:sym w:font="Wingdings" w:char="00FE"/>
      </w:r>
    </w:p>
    <w:p>
      <w:pPr>
        <w:pStyle w:val="5"/>
        <w:spacing w:before="52"/>
        <w:ind w:left="1260"/>
        <w:rPr>
          <w:rFonts w:ascii="Wingdings" w:hAnsi="Wingdings"/>
          <w:lang w:eastAsia="zh-CN"/>
        </w:rPr>
      </w:pPr>
      <w:r>
        <w:rPr>
          <w:lang w:eastAsia="zh-CN"/>
        </w:rPr>
        <w:t>上浮电费</w:t>
      </w:r>
      <w:r>
        <w:rPr>
          <w:rFonts w:ascii="Times New Roman" w:hAnsi="Times New Roman" w:eastAsia="Times New Roman"/>
          <w:lang w:eastAsia="zh-CN"/>
        </w:rPr>
        <w:t>=</w:t>
      </w:r>
      <w:r>
        <w:rPr>
          <w:lang w:eastAsia="zh-CN"/>
        </w:rPr>
        <w:t>实际用电量</w:t>
      </w:r>
      <w:r>
        <w:rPr>
          <w:rFonts w:ascii="Times New Roman" w:hAnsi="Times New Roman" w:eastAsia="Times New Roman"/>
          <w:lang w:eastAsia="zh-CN"/>
        </w:rPr>
        <w:t>×</w:t>
      </w:r>
      <w:r>
        <w:rPr>
          <w:lang w:eastAsia="zh-CN"/>
        </w:rPr>
        <w:t>固定单价</w:t>
      </w:r>
    </w:p>
    <w:p>
      <w:pPr>
        <w:pStyle w:val="12"/>
        <w:numPr>
          <w:ilvl w:val="1"/>
          <w:numId w:val="6"/>
        </w:numPr>
        <w:tabs>
          <w:tab w:val="left" w:pos="1746"/>
        </w:tabs>
        <w:spacing w:before="149" w:line="328" w:lineRule="auto"/>
        <w:ind w:right="640" w:firstLine="640"/>
        <w:jc w:val="both"/>
        <w:rPr>
          <w:lang w:eastAsia="zh-CN"/>
        </w:rPr>
      </w:pPr>
      <w:r>
        <w:rPr>
          <w:spacing w:val="5"/>
          <w:sz w:val="32"/>
          <w:lang w:eastAsia="zh-CN"/>
        </w:rPr>
        <w:t>为防范市场风险，当结算月份甲方平段电量结算价</w:t>
      </w:r>
      <w:r>
        <w:rPr>
          <w:spacing w:val="-82"/>
          <w:w w:val="95"/>
          <w:sz w:val="32"/>
          <w:lang w:eastAsia="zh-CN"/>
        </w:rPr>
        <w:t>格</w:t>
      </w:r>
      <w:r>
        <w:rPr>
          <w:spacing w:val="-3"/>
          <w:w w:val="95"/>
          <w:sz w:val="32"/>
          <w:lang w:eastAsia="zh-CN"/>
        </w:rPr>
        <w:t>（</w:t>
      </w:r>
      <w:r>
        <w:rPr>
          <w:spacing w:val="-9"/>
          <w:w w:val="95"/>
          <w:sz w:val="32"/>
          <w:lang w:eastAsia="zh-CN"/>
        </w:rPr>
        <w:t>含煤电联动电费、上浮电费</w:t>
      </w:r>
      <w:r>
        <w:rPr>
          <w:spacing w:val="-82"/>
          <w:w w:val="95"/>
          <w:sz w:val="32"/>
          <w:lang w:eastAsia="zh-CN"/>
        </w:rPr>
        <w:t>）</w:t>
      </w:r>
      <w:r>
        <w:rPr>
          <w:spacing w:val="-9"/>
          <w:w w:val="95"/>
          <w:sz w:val="32"/>
          <w:lang w:eastAsia="zh-CN"/>
        </w:rPr>
        <w:t>较市场月度加权平均价</w:t>
      </w:r>
      <w:r>
        <w:rPr>
          <w:w w:val="95"/>
          <w:sz w:val="32"/>
          <w:lang w:eastAsia="zh-CN"/>
        </w:rPr>
        <w:t>（即</w:t>
      </w:r>
      <w:r>
        <w:rPr>
          <w:spacing w:val="-1"/>
          <w:w w:val="95"/>
          <w:sz w:val="32"/>
          <w:lang w:eastAsia="zh-CN"/>
        </w:rPr>
        <w:t>批发市场用户侧</w:t>
      </w:r>
      <w:r>
        <w:rPr>
          <w:w w:val="95"/>
          <w:sz w:val="32"/>
          <w:lang w:eastAsia="zh-CN"/>
        </w:rPr>
        <w:t>（含售电公司及批发大用户</w:t>
      </w:r>
      <w:r>
        <w:rPr>
          <w:spacing w:val="-5"/>
          <w:w w:val="95"/>
          <w:sz w:val="32"/>
          <w:lang w:eastAsia="zh-CN"/>
        </w:rPr>
        <w:t>）</w:t>
      </w:r>
      <w:r>
        <w:rPr>
          <w:spacing w:val="-1"/>
          <w:w w:val="95"/>
          <w:sz w:val="32"/>
          <w:lang w:eastAsia="zh-CN"/>
        </w:rPr>
        <w:t>度电支出</w:t>
      </w:r>
      <w:r>
        <w:rPr>
          <w:w w:val="95"/>
          <w:sz w:val="32"/>
          <w:lang w:eastAsia="zh-CN"/>
        </w:rPr>
        <w:t>（含</w:t>
      </w:r>
      <w:r>
        <w:rPr>
          <w:spacing w:val="-3"/>
          <w:w w:val="95"/>
          <w:sz w:val="32"/>
          <w:lang w:eastAsia="zh-CN"/>
        </w:rPr>
        <w:t>年、月、周、现货市场电能量支出及各项分摊返还））</w:t>
      </w:r>
      <w:r>
        <w:rPr>
          <w:w w:val="95"/>
          <w:sz w:val="32"/>
          <w:lang w:eastAsia="zh-CN"/>
        </w:rPr>
        <w:t>超过</w:t>
      </w:r>
      <w:r>
        <w:rPr>
          <w:spacing w:val="5"/>
          <w:sz w:val="32"/>
          <w:lang w:eastAsia="zh-CN"/>
        </w:rPr>
        <w:t>30%或低于20%时，双方选择按以下条款执行（以下为二选一）：</w:t>
      </w:r>
    </w:p>
    <w:p>
      <w:pPr>
        <w:pStyle w:val="12"/>
        <w:tabs>
          <w:tab w:val="left" w:pos="1746"/>
        </w:tabs>
        <w:spacing w:before="149" w:line="328" w:lineRule="auto"/>
        <w:ind w:left="660" w:right="640" w:firstLine="597" w:firstLineChars="181"/>
        <w:jc w:val="both"/>
        <w:rPr>
          <w:spacing w:val="5"/>
          <w:sz w:val="32"/>
          <w:lang w:eastAsia="zh-CN"/>
        </w:rPr>
      </w:pPr>
      <w:r>
        <w:rPr>
          <w:spacing w:val="5"/>
          <w:sz w:val="32"/>
        </w:rPr>
        <w:sym w:font="Wingdings" w:char="00FE"/>
      </w:r>
      <w:r>
        <w:rPr>
          <w:spacing w:val="5"/>
          <w:sz w:val="32"/>
          <w:lang w:eastAsia="zh-CN"/>
        </w:rPr>
        <w:t>6.4.1 超额电费共担条款：甲方平段电量结算价格较市场月度加权平均价超出30%部分的费用由乙方承担，低于20%部分的费用由甲方返还给乙方。</w:t>
      </w:r>
    </w:p>
    <w:p>
      <w:pPr>
        <w:pStyle w:val="12"/>
        <w:tabs>
          <w:tab w:val="left" w:pos="1100"/>
          <w:tab w:val="left" w:pos="1746"/>
        </w:tabs>
        <w:spacing w:before="149" w:line="328" w:lineRule="auto"/>
        <w:ind w:left="660" w:right="640" w:firstLine="597" w:firstLineChars="181"/>
        <w:jc w:val="both"/>
        <w:rPr>
          <w:lang w:eastAsia="zh-CN"/>
        </w:rPr>
      </w:pPr>
      <w:r>
        <w:rPr>
          <w:spacing w:val="5"/>
          <w:sz w:val="32"/>
        </w:rPr>
        <w:sym w:font="Wingdings" w:char="00FD"/>
      </w:r>
      <w:r>
        <w:rPr>
          <w:spacing w:val="5"/>
          <w:sz w:val="32"/>
          <w:lang w:eastAsia="zh-CN"/>
        </w:rPr>
        <w:t>6.4.2 单方解约条款：当甲方平段电量结算价格较市场月度加权平均价超过30%时，甲方有权解除本合同，甲方应于每月 20 日前行使解除权；当甲方平段电量结算价格较市场月度加权平均价低于20%时，乙方有权解除本合同，乙方应于每月 15 日前行使解除权。上述解除权行使期限为自交易中心发布当月市场月度加权平均价均价次日起 60 日内；合同解除的生效日期为甲方或乙方行使解除权的次月 1 日开始，生效日前双方应按合同约定履行完毕各自的权利与义务，生效日后的有关损失和后果由双方各自承担。</w:t>
      </w:r>
    </w:p>
    <w:p>
      <w:pPr>
        <w:pStyle w:val="4"/>
        <w:tabs>
          <w:tab w:val="left" w:pos="4450"/>
        </w:tabs>
        <w:spacing w:line="373" w:lineRule="exact"/>
        <w:ind w:left="3166"/>
      </w:pPr>
      <w:r>
        <w:t>第七章</w:t>
      </w:r>
      <w:r>
        <w:tab/>
      </w:r>
      <w:r>
        <w:t>绿电零售结算</w:t>
      </w:r>
    </w:p>
    <w:p>
      <w:pPr>
        <w:pStyle w:val="12"/>
        <w:numPr>
          <w:ilvl w:val="1"/>
          <w:numId w:val="7"/>
        </w:numPr>
        <w:tabs>
          <w:tab w:val="left" w:pos="1746"/>
        </w:tabs>
        <w:spacing w:before="236" w:line="326" w:lineRule="auto"/>
        <w:ind w:right="625" w:firstLine="640"/>
        <w:jc w:val="both"/>
        <w:rPr>
          <w:sz w:val="32"/>
          <w:lang w:eastAsia="zh-CN"/>
        </w:rPr>
      </w:pPr>
      <w:r>
        <w:rPr>
          <w:spacing w:val="5"/>
          <w:sz w:val="32"/>
          <w:lang w:eastAsia="zh-CN"/>
        </w:rPr>
        <w:t>甲乙双方在本合同中约定由乙方代理甲方参与广东</w:t>
      </w:r>
      <w:r>
        <w:rPr>
          <w:spacing w:val="5"/>
          <w:w w:val="95"/>
          <w:sz w:val="32"/>
          <w:lang w:eastAsia="zh-CN"/>
        </w:rPr>
        <w:t>可再生能源电力交易（亦称绿电交易）时，本章条款有效。</w:t>
      </w:r>
    </w:p>
    <w:p>
      <w:pPr>
        <w:pStyle w:val="5"/>
        <w:spacing w:before="5"/>
        <w:rPr>
          <w:rFonts w:ascii="Wingdings" w:hAnsi="Wingdings"/>
        </w:rPr>
      </w:pPr>
      <w:r>
        <w:t>（可选章节）</w:t>
      </w:r>
      <w:r>
        <w:rPr>
          <w:spacing w:val="5"/>
        </w:rPr>
        <w:sym w:font="Wingdings" w:char="00FD"/>
      </w:r>
    </w:p>
    <w:p>
      <w:pPr>
        <w:pStyle w:val="12"/>
        <w:numPr>
          <w:ilvl w:val="1"/>
          <w:numId w:val="7"/>
        </w:numPr>
        <w:tabs>
          <w:tab w:val="left" w:pos="1741"/>
        </w:tabs>
        <w:spacing w:before="150"/>
        <w:ind w:left="1740" w:hanging="480"/>
        <w:rPr>
          <w:sz w:val="32"/>
          <w:lang w:eastAsia="zh-CN"/>
        </w:rPr>
      </w:pPr>
      <w:r>
        <w:rPr>
          <w:spacing w:val="-2"/>
          <w:sz w:val="32"/>
          <w:lang w:eastAsia="zh-CN"/>
        </w:rPr>
        <w:t>本合同参照《广东省可再生能源交易规则</w:t>
      </w:r>
      <w:r>
        <w:rPr>
          <w:sz w:val="32"/>
          <w:lang w:eastAsia="zh-CN"/>
        </w:rPr>
        <w:t>（试行</w:t>
      </w:r>
      <w:r>
        <w:rPr>
          <w:spacing w:val="-3"/>
          <w:sz w:val="32"/>
          <w:lang w:eastAsia="zh-CN"/>
        </w:rPr>
        <w:t>）</w:t>
      </w:r>
      <w:r>
        <w:rPr>
          <w:sz w:val="32"/>
          <w:lang w:eastAsia="zh-CN"/>
        </w:rPr>
        <w:t>》</w:t>
      </w:r>
    </w:p>
    <w:p>
      <w:pPr>
        <w:pStyle w:val="5"/>
        <w:spacing w:before="32"/>
        <w:ind w:left="0" w:firstLine="640" w:firstLineChars="200"/>
        <w:jc w:val="both"/>
        <w:rPr>
          <w:lang w:eastAsia="zh-CN"/>
        </w:rPr>
      </w:pPr>
      <w:r>
        <w:rPr>
          <w:lang w:eastAsia="zh-CN"/>
        </w:rPr>
        <w:t>以及现货运行有关要求进行结算。</w:t>
      </w:r>
    </w:p>
    <w:p>
      <w:pPr>
        <w:pStyle w:val="2"/>
        <w:ind w:left="440"/>
        <w:rPr>
          <w:lang w:eastAsia="zh-CN"/>
        </w:rPr>
        <w:sectPr>
          <w:footerReference r:id="rId4" w:type="default"/>
          <w:pgSz w:w="11910" w:h="16840"/>
          <w:pgMar w:top="1520" w:right="1160" w:bottom="1100" w:left="1180" w:header="0" w:footer="901" w:gutter="0"/>
          <w:pgNumType w:start="9"/>
          <w:cols w:space="720" w:num="1"/>
        </w:sectPr>
      </w:pPr>
    </w:p>
    <w:p>
      <w:pPr>
        <w:pStyle w:val="12"/>
        <w:numPr>
          <w:ilvl w:val="1"/>
          <w:numId w:val="7"/>
        </w:numPr>
        <w:tabs>
          <w:tab w:val="left" w:pos="1741"/>
        </w:tabs>
        <w:spacing w:before="149" w:line="328" w:lineRule="auto"/>
        <w:ind w:right="640" w:firstLine="640"/>
        <w:jc w:val="both"/>
        <w:rPr>
          <w:sz w:val="32"/>
          <w:lang w:eastAsia="zh-CN"/>
        </w:rPr>
      </w:pPr>
      <w:bookmarkStart w:id="13" w:name="_bookmark6"/>
      <w:bookmarkEnd w:id="13"/>
      <w:bookmarkStart w:id="14" w:name="第七章_绿电零售结算"/>
      <w:bookmarkEnd w:id="14"/>
      <w:r>
        <w:rPr>
          <w:rFonts w:hint="eastAsia"/>
          <w:sz w:val="32"/>
          <w:lang w:eastAsia="zh-CN"/>
        </w:rPr>
        <w:t xml:space="preserve">  </w:t>
      </w:r>
      <w:r>
        <w:rPr>
          <w:sz w:val="32"/>
          <w:lang w:eastAsia="zh-CN"/>
        </w:rPr>
        <w:t>绿电零售结算包含电能量和环境溢价两部分，分别</w:t>
      </w:r>
      <w:r>
        <w:rPr>
          <w:spacing w:val="-1"/>
          <w:w w:val="95"/>
          <w:sz w:val="32"/>
          <w:lang w:eastAsia="zh-CN"/>
        </w:rPr>
        <w:t>体现绿色电力的生产运营成本和环境属性价值，其中电能量</w:t>
      </w:r>
      <w:r>
        <w:rPr>
          <w:spacing w:val="-2"/>
          <w:w w:val="95"/>
          <w:sz w:val="32"/>
          <w:lang w:eastAsia="zh-CN"/>
        </w:rPr>
        <w:t>部分的零售结算模式按本合同第六章约定；绿电环境溢价部</w:t>
      </w:r>
      <w:r>
        <w:rPr>
          <w:spacing w:val="-9"/>
          <w:sz w:val="32"/>
          <w:lang w:eastAsia="zh-CN"/>
        </w:rPr>
        <w:t xml:space="preserve">分的零售结算模式按本合同 </w:t>
      </w:r>
      <w:r>
        <w:rPr>
          <w:rFonts w:ascii="Times New Roman" w:eastAsia="Times New Roman"/>
          <w:sz w:val="32"/>
          <w:lang w:eastAsia="zh-CN"/>
        </w:rPr>
        <w:t>7.4-7.6</w:t>
      </w:r>
      <w:r>
        <w:rPr>
          <w:rFonts w:ascii="Times New Roman" w:eastAsia="Times New Roman"/>
          <w:spacing w:val="-1"/>
          <w:sz w:val="32"/>
          <w:lang w:eastAsia="zh-CN"/>
        </w:rPr>
        <w:t xml:space="preserve"> </w:t>
      </w:r>
      <w:r>
        <w:rPr>
          <w:sz w:val="32"/>
          <w:lang w:eastAsia="zh-CN"/>
        </w:rPr>
        <w:t>条约定执行。</w:t>
      </w:r>
    </w:p>
    <w:p>
      <w:pPr>
        <w:pStyle w:val="12"/>
        <w:numPr>
          <w:ilvl w:val="1"/>
          <w:numId w:val="7"/>
        </w:numPr>
        <w:tabs>
          <w:tab w:val="left" w:pos="1741"/>
        </w:tabs>
        <w:spacing w:line="328" w:lineRule="auto"/>
        <w:ind w:right="640" w:firstLine="640"/>
        <w:jc w:val="both"/>
        <w:rPr>
          <w:sz w:val="32"/>
          <w:lang w:eastAsia="zh-CN"/>
        </w:rPr>
      </w:pPr>
      <w:r>
        <w:rPr>
          <w:sz w:val="32"/>
          <w:lang w:eastAsia="zh-CN"/>
        </w:rPr>
        <w:t>绿电环境溢价电费由环境溢价合同电费、偏差电费</w:t>
      </w:r>
      <w:r>
        <w:rPr>
          <w:spacing w:val="-3"/>
          <w:w w:val="95"/>
          <w:sz w:val="32"/>
          <w:lang w:eastAsia="zh-CN"/>
        </w:rPr>
        <w:t>两部分组成，月度按以下零售模式进行结算，甲方绿电环境溢价电费支出等于约定的环境溢价合同电费与偏差电费之和</w:t>
      </w:r>
      <w:r>
        <w:rPr>
          <w:spacing w:val="-9"/>
          <w:sz w:val="32"/>
          <w:lang w:eastAsia="zh-CN"/>
        </w:rPr>
        <w:t xml:space="preserve">，具体量、价、率等约定见附表 </w:t>
      </w:r>
      <w:r>
        <w:rPr>
          <w:rFonts w:ascii="Times New Roman" w:eastAsia="Times New Roman"/>
          <w:sz w:val="32"/>
          <w:lang w:eastAsia="zh-CN"/>
        </w:rPr>
        <w:t>2</w:t>
      </w:r>
      <w:r>
        <w:rPr>
          <w:sz w:val="32"/>
          <w:lang w:eastAsia="zh-CN"/>
        </w:rPr>
        <w:t>。</w:t>
      </w:r>
    </w:p>
    <w:p>
      <w:pPr>
        <w:pStyle w:val="12"/>
        <w:numPr>
          <w:ilvl w:val="1"/>
          <w:numId w:val="7"/>
        </w:numPr>
        <w:tabs>
          <w:tab w:val="left" w:pos="1741"/>
          <w:tab w:val="left" w:pos="3305"/>
        </w:tabs>
        <w:spacing w:line="326" w:lineRule="auto"/>
        <w:ind w:left="1260" w:right="3345" w:firstLine="0"/>
        <w:rPr>
          <w:rFonts w:ascii="Wingdings" w:hAnsi="Wingdings"/>
          <w:sz w:val="32"/>
          <w:lang w:eastAsia="zh-CN"/>
        </w:rPr>
      </w:pPr>
      <w:r>
        <w:rPr>
          <w:sz w:val="32"/>
          <w:lang w:eastAsia="zh-CN"/>
        </w:rPr>
        <w:t>环境溢价合同电费（可选条款） 固定价格</w:t>
      </w:r>
      <w:r>
        <w:rPr>
          <w:spacing w:val="5"/>
          <w:sz w:val="32"/>
        </w:rPr>
        <w:sym w:font="Wingdings" w:char="00FD"/>
      </w:r>
      <w:r>
        <w:rPr>
          <w:rFonts w:ascii="Times New Roman" w:hAnsi="Times New Roman"/>
          <w:sz w:val="32"/>
          <w:lang w:eastAsia="zh-CN"/>
        </w:rPr>
        <w:tab/>
      </w:r>
      <w:r>
        <w:rPr>
          <w:sz w:val="32"/>
          <w:lang w:eastAsia="zh-CN"/>
        </w:rPr>
        <w:t>市场联动</w:t>
      </w:r>
      <w:r>
        <w:rPr>
          <w:spacing w:val="5"/>
          <w:sz w:val="32"/>
        </w:rPr>
        <w:sym w:font="Wingdings" w:char="00FD"/>
      </w:r>
    </w:p>
    <w:p>
      <w:pPr>
        <w:pStyle w:val="5"/>
        <w:spacing w:line="328" w:lineRule="auto"/>
        <w:ind w:right="724" w:firstLine="640"/>
        <w:jc w:val="both"/>
        <w:rPr>
          <w:lang w:eastAsia="zh-CN"/>
        </w:rPr>
      </w:pPr>
      <w:r>
        <w:rPr>
          <w:w w:val="95"/>
          <w:lang w:eastAsia="zh-CN"/>
        </w:rPr>
        <w:t>环境溢价合同电费</w:t>
      </w:r>
      <w:r>
        <w:rPr>
          <w:rFonts w:ascii="Times New Roman" w:hAnsi="Times New Roman" w:eastAsia="Times New Roman"/>
          <w:w w:val="95"/>
          <w:lang w:eastAsia="zh-CN"/>
        </w:rPr>
        <w:t>=</w:t>
      </w:r>
      <w:r>
        <w:rPr>
          <w:w w:val="95"/>
          <w:lang w:eastAsia="zh-CN"/>
        </w:rPr>
        <w:t>实际用电量</w:t>
      </w:r>
      <w:r>
        <w:rPr>
          <w:rFonts w:ascii="Times New Roman" w:hAnsi="Times New Roman" w:eastAsia="Times New Roman"/>
          <w:w w:val="95"/>
          <w:lang w:eastAsia="zh-CN"/>
        </w:rPr>
        <w:t>×</w:t>
      </w:r>
      <w:r>
        <w:rPr>
          <w:w w:val="95"/>
          <w:lang w:eastAsia="zh-CN"/>
        </w:rPr>
        <w:t>合同约定的电量比例</w:t>
      </w:r>
      <w:r>
        <w:rPr>
          <w:rFonts w:ascii="Times New Roman" w:hAnsi="Times New Roman" w:eastAsia="Times New Roman"/>
          <w:w w:val="95"/>
          <w:lang w:eastAsia="zh-CN"/>
        </w:rPr>
        <w:t xml:space="preserve">×  </w:t>
      </w:r>
      <w:r>
        <w:rPr>
          <w:w w:val="95"/>
          <w:lang w:eastAsia="zh-CN"/>
        </w:rPr>
        <w:t>固定价格</w:t>
      </w:r>
      <w:r>
        <w:rPr>
          <w:rFonts w:ascii="Times New Roman" w:hAnsi="Times New Roman" w:eastAsia="Times New Roman"/>
          <w:w w:val="95"/>
          <w:lang w:eastAsia="zh-CN"/>
        </w:rPr>
        <w:t>+</w:t>
      </w:r>
      <w:r>
        <w:rPr>
          <w:w w:val="95"/>
          <w:lang w:eastAsia="zh-CN"/>
        </w:rPr>
        <w:t>实际用电量</w:t>
      </w:r>
      <w:r>
        <w:rPr>
          <w:rFonts w:ascii="Times New Roman" w:hAnsi="Times New Roman" w:eastAsia="Times New Roman"/>
          <w:w w:val="95"/>
          <w:lang w:eastAsia="zh-CN"/>
        </w:rPr>
        <w:t>×</w:t>
      </w:r>
      <w:r>
        <w:rPr>
          <w:w w:val="95"/>
          <w:lang w:eastAsia="zh-CN"/>
        </w:rPr>
        <w:t>合同约定的电量比例</w:t>
      </w:r>
      <w:r>
        <w:rPr>
          <w:rFonts w:ascii="Times New Roman" w:hAnsi="Times New Roman" w:eastAsia="Times New Roman"/>
          <w:w w:val="95"/>
          <w:lang w:eastAsia="zh-CN"/>
        </w:rPr>
        <w:t>×</w:t>
      </w:r>
      <w:r>
        <w:rPr>
          <w:w w:val="95"/>
          <w:lang w:eastAsia="zh-CN"/>
        </w:rPr>
        <w:t xml:space="preserve">联动批发市场 </w:t>
      </w:r>
      <w:r>
        <w:rPr>
          <w:lang w:eastAsia="zh-CN"/>
        </w:rPr>
        <w:t>绿电月度环境溢价综合价格</w:t>
      </w:r>
      <w:r>
        <w:rPr>
          <w:rFonts w:hint="eastAsia"/>
          <w:lang w:eastAsia="zh-CN"/>
        </w:rPr>
        <w:t>。</w:t>
      </w:r>
    </w:p>
    <w:p>
      <w:pPr>
        <w:pStyle w:val="12"/>
        <w:numPr>
          <w:ilvl w:val="1"/>
          <w:numId w:val="7"/>
        </w:numPr>
        <w:tabs>
          <w:tab w:val="left" w:pos="1741"/>
        </w:tabs>
        <w:spacing w:line="405" w:lineRule="exact"/>
        <w:ind w:left="1740" w:hanging="480"/>
        <w:jc w:val="both"/>
        <w:rPr>
          <w:sz w:val="32"/>
          <w:lang w:eastAsia="zh-CN"/>
        </w:rPr>
      </w:pPr>
      <w:r>
        <w:rPr>
          <w:sz w:val="32"/>
          <w:lang w:eastAsia="zh-CN"/>
        </w:rPr>
        <w:t>偏差电费（系统自动计算）</w:t>
      </w:r>
    </w:p>
    <w:p>
      <w:pPr>
        <w:pStyle w:val="2"/>
        <w:spacing w:line="360" w:lineRule="auto"/>
        <w:ind w:left="440" w:firstLine="878" w:firstLineChars="289"/>
        <w:rPr>
          <w:lang w:eastAsia="zh-CN"/>
        </w:rPr>
      </w:pPr>
      <w:r>
        <w:rPr>
          <w:w w:val="95"/>
          <w:sz w:val="32"/>
          <w:szCs w:val="32"/>
          <w:lang w:eastAsia="zh-CN"/>
        </w:rPr>
        <w:t>考虑月度结算周期内，乙方在零售市场售出的绿电环境溢价电量不应超过其在批发市场采购的绿电环境溢价电量，否则须对环境溢价合同电量进行等比例（打折）调整，调整部分即为偏差电量，环境溢价偏差电量电费=环境溢价偏差电量×环境溢价合同加权平均价</w:t>
      </w:r>
      <w:r>
        <w:rPr>
          <w:lang w:eastAsia="zh-CN"/>
        </w:rPr>
        <w:t>。</w:t>
      </w:r>
    </w:p>
    <w:p>
      <w:pPr>
        <w:pStyle w:val="4"/>
        <w:tabs>
          <w:tab w:val="left" w:pos="4291"/>
        </w:tabs>
        <w:spacing w:line="381" w:lineRule="exact"/>
        <w:ind w:left="3005"/>
      </w:pPr>
      <w:r>
        <w:t>第八章</w:t>
      </w:r>
      <w:r>
        <w:tab/>
      </w:r>
      <w:r>
        <w:t>合同违约和赔偿</w:t>
      </w:r>
    </w:p>
    <w:p>
      <w:pPr>
        <w:pStyle w:val="12"/>
        <w:numPr>
          <w:ilvl w:val="1"/>
          <w:numId w:val="8"/>
        </w:numPr>
        <w:tabs>
          <w:tab w:val="left" w:pos="1746"/>
        </w:tabs>
        <w:spacing w:before="233" w:line="328" w:lineRule="auto"/>
        <w:ind w:right="640" w:firstLine="640"/>
        <w:jc w:val="both"/>
        <w:rPr>
          <w:sz w:val="32"/>
          <w:lang w:eastAsia="zh-CN"/>
        </w:rPr>
      </w:pPr>
      <w:r>
        <w:rPr>
          <w:spacing w:val="5"/>
          <w:sz w:val="32"/>
          <w:lang w:eastAsia="zh-CN"/>
        </w:rPr>
        <w:t>任何一方违反本合同约定条款视为违约，合同另一方有权要求违约方赔偿违约造成的经济损失。</w:t>
      </w:r>
    </w:p>
    <w:p>
      <w:pPr>
        <w:pStyle w:val="12"/>
        <w:numPr>
          <w:ilvl w:val="1"/>
          <w:numId w:val="8"/>
        </w:numPr>
        <w:tabs>
          <w:tab w:val="left" w:pos="1741"/>
        </w:tabs>
        <w:spacing w:line="407" w:lineRule="exact"/>
        <w:ind w:left="1740" w:hanging="480"/>
        <w:jc w:val="both"/>
        <w:rPr>
          <w:sz w:val="32"/>
        </w:rPr>
        <w:sectPr>
          <w:pgSz w:w="11910" w:h="16840"/>
          <w:pgMar w:top="1520" w:right="1160" w:bottom="1180" w:left="1180" w:header="0" w:footer="901" w:gutter="0"/>
          <w:cols w:space="720" w:num="1"/>
        </w:sectPr>
      </w:pPr>
      <w:r>
        <w:rPr>
          <w:sz w:val="32"/>
        </w:rPr>
        <w:t>违约的处理原则</w:t>
      </w:r>
    </w:p>
    <w:p>
      <w:pPr>
        <w:pStyle w:val="5"/>
        <w:spacing w:before="32" w:line="326" w:lineRule="auto"/>
        <w:ind w:right="625" w:firstLine="640"/>
        <w:jc w:val="both"/>
        <w:rPr>
          <w:lang w:eastAsia="zh-CN"/>
        </w:rPr>
      </w:pPr>
      <w:bookmarkStart w:id="15" w:name="_bookmark7"/>
      <w:bookmarkEnd w:id="15"/>
      <w:bookmarkStart w:id="16" w:name="第八章_合同违约和赔偿"/>
      <w:bookmarkEnd w:id="16"/>
      <w:r>
        <w:rPr>
          <w:lang w:eastAsia="zh-CN"/>
        </w:rPr>
        <w:t>在本合同履行期限届满前，任一方明确表示或以自己行为表明不履行合同义务的，另一方可在履行期限届满前解除</w:t>
      </w:r>
      <w:r>
        <w:rPr>
          <w:w w:val="95"/>
          <w:lang w:eastAsia="zh-CN"/>
        </w:rPr>
        <w:t>合同并要求其承担相应的违约责任，因不可抗力导致除外。</w:t>
      </w:r>
    </w:p>
    <w:p>
      <w:pPr>
        <w:pStyle w:val="12"/>
        <w:numPr>
          <w:ilvl w:val="1"/>
          <w:numId w:val="8"/>
        </w:numPr>
        <w:tabs>
          <w:tab w:val="left" w:pos="1741"/>
        </w:tabs>
        <w:spacing w:before="7"/>
        <w:ind w:left="1740" w:hanging="480"/>
        <w:jc w:val="both"/>
        <w:rPr>
          <w:sz w:val="32"/>
        </w:rPr>
      </w:pPr>
      <w:r>
        <w:rPr>
          <w:sz w:val="32"/>
        </w:rPr>
        <w:t>违约赔偿</w:t>
      </w:r>
    </w:p>
    <w:p>
      <w:pPr>
        <w:pStyle w:val="5"/>
        <w:spacing w:before="149" w:line="328" w:lineRule="auto"/>
        <w:ind w:right="640" w:firstLine="640"/>
        <w:jc w:val="both"/>
        <w:rPr>
          <w:lang w:eastAsia="zh-CN"/>
        </w:rPr>
      </w:pPr>
      <w:r>
        <w:rPr>
          <w:spacing w:val="-3"/>
          <w:lang w:eastAsia="zh-CN"/>
        </w:rPr>
        <w:t>如发生提交虚假信息、停产、变更、退市等行为，影响</w:t>
      </w:r>
      <w:r>
        <w:rPr>
          <w:spacing w:val="-4"/>
          <w:w w:val="95"/>
          <w:lang w:eastAsia="zh-CN"/>
        </w:rPr>
        <w:t>企业履行合同义务的情形，违约方给守约方造成的一切直接</w:t>
      </w:r>
      <w:r>
        <w:rPr>
          <w:spacing w:val="-4"/>
          <w:lang w:eastAsia="zh-CN"/>
        </w:rPr>
        <w:t>及间接损失，由违约方承担违约赔偿责任。</w:t>
      </w:r>
    </w:p>
    <w:p>
      <w:pPr>
        <w:pStyle w:val="12"/>
        <w:numPr>
          <w:ilvl w:val="1"/>
          <w:numId w:val="8"/>
        </w:numPr>
        <w:tabs>
          <w:tab w:val="left" w:pos="1741"/>
        </w:tabs>
        <w:spacing w:line="405" w:lineRule="exact"/>
        <w:ind w:left="1740" w:hanging="480"/>
        <w:jc w:val="both"/>
        <w:rPr>
          <w:sz w:val="32"/>
          <w:lang w:eastAsia="zh-CN"/>
        </w:rPr>
      </w:pPr>
      <w:r>
        <w:rPr>
          <w:sz w:val="32"/>
          <w:lang w:eastAsia="zh-CN"/>
        </w:rPr>
        <w:t>违约金计算方式及支付方式</w:t>
      </w:r>
    </w:p>
    <w:p>
      <w:pPr>
        <w:pStyle w:val="5"/>
        <w:tabs>
          <w:tab w:val="left" w:pos="7224"/>
        </w:tabs>
        <w:spacing w:before="149" w:line="328" w:lineRule="auto"/>
        <w:ind w:right="640" w:firstLine="640"/>
        <w:jc w:val="both"/>
        <w:rPr>
          <w:lang w:eastAsia="zh-CN"/>
        </w:rPr>
      </w:pPr>
      <w:r>
        <w:rPr>
          <w:rFonts w:ascii="Times New Roman" w:eastAsia="Times New Roman"/>
          <w:lang w:eastAsia="zh-CN"/>
        </w:rPr>
        <w:t>8.4.1</w:t>
      </w:r>
      <w:r>
        <w:rPr>
          <w:rFonts w:ascii="Times New Roman" w:eastAsia="Times New Roman"/>
          <w:spacing w:val="-11"/>
          <w:lang w:eastAsia="zh-CN"/>
        </w:rPr>
        <w:t xml:space="preserve"> </w:t>
      </w:r>
      <w:r>
        <w:rPr>
          <w:lang w:eastAsia="zh-CN"/>
        </w:rPr>
        <w:t>违约方应向守约方支付违约造成的经济损失</w:t>
      </w:r>
      <w:r>
        <w:rPr>
          <w:spacing w:val="-94"/>
          <w:lang w:eastAsia="zh-CN"/>
        </w:rPr>
        <w:t>，</w:t>
      </w:r>
      <w:r>
        <w:rPr>
          <w:lang w:eastAsia="zh-CN"/>
        </w:rPr>
        <w:t>违约</w:t>
      </w:r>
      <w:r>
        <w:rPr>
          <w:spacing w:val="5"/>
          <w:lang w:eastAsia="zh-CN"/>
        </w:rPr>
        <w:t>金的计算方式为：</w:t>
      </w:r>
      <w:r>
        <w:rPr>
          <w:rFonts w:hint="eastAsia"/>
          <w:spacing w:val="5"/>
          <w:u w:val="single"/>
          <w:lang w:eastAsia="zh-CN"/>
        </w:rPr>
        <w:t>双方协商解决</w:t>
      </w:r>
      <w:r>
        <w:rPr>
          <w:spacing w:val="5"/>
          <w:lang w:eastAsia="zh-CN"/>
        </w:rPr>
        <w:t>，该违约</w:t>
      </w:r>
      <w:r>
        <w:rPr>
          <w:lang w:eastAsia="zh-CN"/>
        </w:rPr>
        <w:t>金由双方自行结算补偿。</w:t>
      </w:r>
      <w:bookmarkStart w:id="17" w:name="_bookmark8"/>
      <w:bookmarkEnd w:id="17"/>
      <w:bookmarkStart w:id="18" w:name="第九章_合同变更和解除"/>
      <w:bookmarkEnd w:id="18"/>
    </w:p>
    <w:p>
      <w:pPr>
        <w:pStyle w:val="4"/>
        <w:spacing w:line="386" w:lineRule="exact"/>
        <w:ind w:left="3084"/>
      </w:pPr>
      <w:r>
        <w:t>第九章 合同变更和解除</w:t>
      </w:r>
    </w:p>
    <w:p>
      <w:pPr>
        <w:pStyle w:val="12"/>
        <w:numPr>
          <w:ilvl w:val="1"/>
          <w:numId w:val="9"/>
        </w:numPr>
        <w:tabs>
          <w:tab w:val="left" w:pos="1741"/>
        </w:tabs>
        <w:spacing w:before="233"/>
        <w:ind w:firstLine="640"/>
        <w:jc w:val="both"/>
        <w:rPr>
          <w:sz w:val="32"/>
          <w:lang w:eastAsia="zh-CN"/>
        </w:rPr>
      </w:pPr>
      <w:r>
        <w:rPr>
          <w:spacing w:val="-2"/>
          <w:sz w:val="32"/>
          <w:lang w:eastAsia="zh-CN"/>
        </w:rPr>
        <w:t>经双方协商一致，可另行签订新合同，原合同废止。</w:t>
      </w:r>
    </w:p>
    <w:p>
      <w:pPr>
        <w:pStyle w:val="12"/>
        <w:numPr>
          <w:ilvl w:val="1"/>
          <w:numId w:val="9"/>
        </w:numPr>
        <w:tabs>
          <w:tab w:val="left" w:pos="1818"/>
        </w:tabs>
        <w:spacing w:before="130" w:line="364" w:lineRule="auto"/>
        <w:ind w:right="637" w:firstLine="636"/>
        <w:jc w:val="both"/>
        <w:rPr>
          <w:sz w:val="32"/>
          <w:lang w:eastAsia="zh-CN"/>
        </w:rPr>
      </w:pPr>
      <w:r>
        <w:rPr>
          <w:sz w:val="32"/>
          <w:lang w:eastAsia="zh-CN"/>
        </w:rPr>
        <w:t>因国家法律、法规发生变化或者政府有关部门、监</w:t>
      </w:r>
      <w:r>
        <w:rPr>
          <w:spacing w:val="-1"/>
          <w:w w:val="95"/>
          <w:sz w:val="32"/>
          <w:lang w:eastAsia="zh-CN"/>
        </w:rPr>
        <w:t>管机构出台有关规定而导致原合同无法继续履行时，双方可</w:t>
      </w:r>
      <w:r>
        <w:rPr>
          <w:spacing w:val="-41"/>
          <w:sz w:val="32"/>
          <w:lang w:eastAsia="zh-CN"/>
        </w:rPr>
        <w:t xml:space="preserve">按 </w:t>
      </w:r>
      <w:r>
        <w:rPr>
          <w:rFonts w:ascii="Times New Roman" w:eastAsia="Times New Roman"/>
          <w:sz w:val="32"/>
          <w:lang w:eastAsia="zh-CN"/>
        </w:rPr>
        <w:t>9.1</w:t>
      </w:r>
      <w:r>
        <w:rPr>
          <w:rFonts w:ascii="Times New Roman" w:eastAsia="Times New Roman"/>
          <w:spacing w:val="-1"/>
          <w:sz w:val="32"/>
          <w:lang w:eastAsia="zh-CN"/>
        </w:rPr>
        <w:t xml:space="preserve"> </w:t>
      </w:r>
      <w:r>
        <w:rPr>
          <w:sz w:val="32"/>
          <w:lang w:eastAsia="zh-CN"/>
        </w:rPr>
        <w:t>条协商签订新合同。</w:t>
      </w:r>
    </w:p>
    <w:p>
      <w:pPr>
        <w:pStyle w:val="12"/>
        <w:tabs>
          <w:tab w:val="left" w:pos="1818"/>
        </w:tabs>
        <w:spacing w:before="130" w:line="364" w:lineRule="auto"/>
        <w:ind w:left="676" w:right="637" w:firstLine="581" w:firstLineChars="181"/>
        <w:jc w:val="both"/>
        <w:rPr>
          <w:sz w:val="32"/>
          <w:lang w:eastAsia="zh-CN"/>
        </w:rPr>
      </w:pPr>
      <w:r>
        <w:rPr>
          <w:rFonts w:hint="eastAsia"/>
          <w:b/>
          <w:bCs/>
          <w:sz w:val="32"/>
          <w:lang w:eastAsia="zh-CN"/>
        </w:rPr>
        <w:t>若国家出台新的零售交易固定价格上限政策，发电企业上调批发侧上限价格导致乙方购电批发价格上涨时，乙方有权向甲方提出要求上调零售固定价格，甲方应配合乙方重新协商调整固定价格并</w:t>
      </w:r>
      <w:r>
        <w:rPr>
          <w:b/>
          <w:bCs/>
          <w:sz w:val="32"/>
          <w:lang w:eastAsia="zh-CN"/>
        </w:rPr>
        <w:t>签订新合同</w:t>
      </w:r>
      <w:r>
        <w:rPr>
          <w:rFonts w:hint="eastAsia"/>
          <w:b/>
          <w:bCs/>
          <w:sz w:val="32"/>
          <w:lang w:eastAsia="zh-CN"/>
        </w:rPr>
        <w:t>，如甲方拒绝调整，则乙方有权单方解除合同而不需经过甲方同意</w:t>
      </w:r>
      <w:r>
        <w:rPr>
          <w:rFonts w:hint="eastAsia"/>
          <w:sz w:val="32"/>
          <w:lang w:eastAsia="zh-CN"/>
        </w:rPr>
        <w:t>。</w:t>
      </w:r>
    </w:p>
    <w:p>
      <w:pPr>
        <w:pStyle w:val="12"/>
        <w:numPr>
          <w:ilvl w:val="1"/>
          <w:numId w:val="9"/>
        </w:numPr>
        <w:tabs>
          <w:tab w:val="left" w:pos="1741"/>
        </w:tabs>
        <w:spacing w:before="24" w:line="326" w:lineRule="auto"/>
        <w:ind w:right="784" w:firstLine="640"/>
        <w:jc w:val="both"/>
        <w:rPr>
          <w:sz w:val="32"/>
          <w:lang w:eastAsia="zh-CN"/>
        </w:rPr>
      </w:pPr>
      <w:r>
        <w:rPr>
          <w:sz w:val="32"/>
          <w:lang w:eastAsia="zh-CN"/>
        </w:rPr>
        <w:t>如任何一方发生下列事件，则另一方有权在发出解除通知后解除本合同：</w:t>
      </w:r>
    </w:p>
    <w:p>
      <w:pPr>
        <w:pStyle w:val="12"/>
        <w:numPr>
          <w:ilvl w:val="2"/>
          <w:numId w:val="9"/>
        </w:numPr>
        <w:tabs>
          <w:tab w:val="left" w:pos="1981"/>
        </w:tabs>
        <w:spacing w:before="3" w:line="328" w:lineRule="auto"/>
        <w:ind w:right="637" w:firstLine="640"/>
        <w:jc w:val="both"/>
        <w:rPr>
          <w:sz w:val="32"/>
          <w:lang w:eastAsia="zh-CN"/>
        </w:rPr>
      </w:pPr>
      <w:r>
        <w:rPr>
          <w:spacing w:val="-10"/>
          <w:sz w:val="32"/>
          <w:lang w:eastAsia="zh-CN"/>
        </w:rPr>
        <w:t>除另有约定外，合同任一方未及时支付本合同项下</w:t>
      </w:r>
      <w:r>
        <w:rPr>
          <w:spacing w:val="-13"/>
          <w:sz w:val="32"/>
          <w:lang w:eastAsia="zh-CN"/>
        </w:rPr>
        <w:t xml:space="preserve">的任何到期应付款项，且未能在收到相关方书面通知后 </w:t>
      </w:r>
      <w:r>
        <w:rPr>
          <w:rFonts w:ascii="Times New Roman" w:eastAsia="Times New Roman"/>
          <w:sz w:val="32"/>
          <w:lang w:eastAsia="zh-CN"/>
        </w:rPr>
        <w:t>5</w:t>
      </w:r>
      <w:r>
        <w:rPr>
          <w:rFonts w:ascii="Times New Roman" w:eastAsia="Times New Roman"/>
          <w:spacing w:val="-6"/>
          <w:sz w:val="32"/>
          <w:lang w:eastAsia="zh-CN"/>
        </w:rPr>
        <w:t xml:space="preserve"> </w:t>
      </w:r>
      <w:r>
        <w:rPr>
          <w:sz w:val="32"/>
          <w:lang w:eastAsia="zh-CN"/>
        </w:rPr>
        <w:t>个工作日内得到纠正；</w:t>
      </w:r>
    </w:p>
    <w:p>
      <w:pPr>
        <w:pStyle w:val="12"/>
        <w:numPr>
          <w:ilvl w:val="2"/>
          <w:numId w:val="9"/>
        </w:numPr>
        <w:tabs>
          <w:tab w:val="left" w:pos="1981"/>
        </w:tabs>
        <w:spacing w:line="405" w:lineRule="exact"/>
        <w:ind w:firstLine="640"/>
        <w:jc w:val="both"/>
        <w:rPr>
          <w:sz w:val="32"/>
          <w:lang w:eastAsia="zh-CN"/>
        </w:rPr>
      </w:pPr>
      <w:r>
        <w:rPr>
          <w:sz w:val="32"/>
          <w:lang w:eastAsia="zh-CN"/>
        </w:rPr>
        <w:t>一方被申请破产、清算或被吊销营业执照；</w:t>
      </w:r>
    </w:p>
    <w:p>
      <w:pPr>
        <w:pStyle w:val="12"/>
        <w:numPr>
          <w:ilvl w:val="2"/>
          <w:numId w:val="9"/>
        </w:numPr>
        <w:tabs>
          <w:tab w:val="left" w:pos="1981"/>
        </w:tabs>
        <w:spacing w:before="152" w:line="326" w:lineRule="auto"/>
        <w:ind w:right="637" w:firstLine="640"/>
        <w:jc w:val="both"/>
        <w:rPr>
          <w:spacing w:val="-10"/>
          <w:sz w:val="32"/>
          <w:lang w:eastAsia="zh-CN"/>
        </w:rPr>
      </w:pPr>
      <w:r>
        <w:rPr>
          <w:spacing w:val="-10"/>
          <w:sz w:val="32"/>
          <w:lang w:eastAsia="zh-CN"/>
        </w:rPr>
        <w:t>一方与另一实体联合、合并或将其所有或大部分资产转移给另一实体，而该存续的企业不能合理地承担其在本合同项下的所有义务。</w:t>
      </w:r>
    </w:p>
    <w:p>
      <w:pPr>
        <w:pStyle w:val="4"/>
        <w:tabs>
          <w:tab w:val="left" w:pos="4771"/>
        </w:tabs>
        <w:spacing w:before="127" w:line="240" w:lineRule="auto"/>
        <w:rPr>
          <w:lang w:eastAsia="zh-CN"/>
        </w:rPr>
      </w:pPr>
      <w:r>
        <w:rPr>
          <w:lang w:eastAsia="zh-CN"/>
        </w:rPr>
        <w:t>第十章</w:t>
      </w:r>
      <w:r>
        <w:rPr>
          <w:lang w:eastAsia="zh-CN"/>
        </w:rPr>
        <w:tab/>
      </w:r>
      <w:r>
        <w:rPr>
          <w:lang w:eastAsia="zh-CN"/>
        </w:rPr>
        <w:t>争议解决</w:t>
      </w:r>
    </w:p>
    <w:p>
      <w:pPr>
        <w:pStyle w:val="5"/>
        <w:tabs>
          <w:tab w:val="left" w:pos="5739"/>
        </w:tabs>
        <w:spacing w:before="236" w:line="328" w:lineRule="auto"/>
        <w:ind w:right="625" w:firstLine="640"/>
        <w:jc w:val="both"/>
        <w:rPr>
          <w:lang w:eastAsia="zh-CN"/>
        </w:rPr>
      </w:pPr>
      <w:r>
        <w:rPr>
          <w:rFonts w:ascii="Times New Roman" w:eastAsia="Times New Roman"/>
          <w:lang w:eastAsia="zh-CN"/>
        </w:rPr>
        <w:t>10.1</w:t>
      </w:r>
      <w:r>
        <w:rPr>
          <w:rFonts w:ascii="Times New Roman" w:eastAsia="Times New Roman"/>
          <w:spacing w:val="20"/>
          <w:lang w:eastAsia="zh-CN"/>
        </w:rPr>
        <w:t xml:space="preserve"> </w:t>
      </w:r>
      <w:r>
        <w:rPr>
          <w:lang w:eastAsia="zh-CN"/>
        </w:rPr>
        <w:t>凡因执行本合同所发生的与本合同有关的一切争</w:t>
      </w:r>
      <w:r>
        <w:rPr>
          <w:w w:val="95"/>
          <w:lang w:eastAsia="zh-CN"/>
        </w:rPr>
        <w:t>议，双方应协商解决，也可在电力市场行业内部进行调解。</w:t>
      </w:r>
      <w:r>
        <w:rPr>
          <w:lang w:eastAsia="zh-CN"/>
        </w:rPr>
        <w:t>协商或调解不成的，可按以下第</w:t>
      </w:r>
      <w:r>
        <w:rPr>
          <w:u w:val="single"/>
          <w:lang w:eastAsia="zh-CN"/>
        </w:rPr>
        <w:t xml:space="preserve"> </w:t>
      </w:r>
      <w:r>
        <w:rPr>
          <w:rFonts w:hint="eastAsia"/>
          <w:u w:val="single"/>
          <w:lang w:eastAsia="zh-CN"/>
        </w:rPr>
        <w:t xml:space="preserve">（2） </w:t>
      </w:r>
      <w:r>
        <w:rPr>
          <w:lang w:eastAsia="zh-CN"/>
        </w:rPr>
        <w:t>种方式解决：</w:t>
      </w:r>
    </w:p>
    <w:p>
      <w:pPr>
        <w:pStyle w:val="5"/>
        <w:spacing w:line="326" w:lineRule="auto"/>
        <w:ind w:right="479" w:firstLine="640"/>
        <w:jc w:val="both"/>
        <w:rPr>
          <w:lang w:eastAsia="zh-CN"/>
        </w:rPr>
      </w:pPr>
      <w:r>
        <w:rPr>
          <w:w w:val="95"/>
          <w:lang w:eastAsia="zh-CN"/>
        </w:rPr>
        <w:t>（</w:t>
      </w:r>
      <w:r>
        <w:rPr>
          <w:rFonts w:ascii="Times New Roman" w:eastAsia="Times New Roman"/>
          <w:w w:val="95"/>
          <w:lang w:eastAsia="zh-CN"/>
        </w:rPr>
        <w:t>1</w:t>
      </w:r>
      <w:r>
        <w:rPr>
          <w:w w:val="95"/>
          <w:lang w:eastAsia="zh-CN"/>
        </w:rPr>
        <w:t xml:space="preserve">）双方同意提请广州仲裁委员会，请求按其仲裁规则 </w:t>
      </w:r>
      <w:r>
        <w:rPr>
          <w:spacing w:val="-15"/>
          <w:lang w:eastAsia="zh-CN"/>
        </w:rPr>
        <w:t>进行仲裁。仲裁裁决是终局的，对双方均具有法律约束力。</w:t>
      </w:r>
    </w:p>
    <w:p>
      <w:pPr>
        <w:pStyle w:val="5"/>
        <w:spacing w:line="326" w:lineRule="auto"/>
        <w:ind w:right="784" w:firstLine="640"/>
        <w:jc w:val="both"/>
        <w:rPr>
          <w:spacing w:val="-10"/>
          <w:szCs w:val="22"/>
          <w:lang w:eastAsia="zh-CN"/>
        </w:rPr>
      </w:pPr>
      <w:r>
        <w:rPr>
          <w:lang w:eastAsia="zh-CN"/>
        </w:rPr>
        <w:t>（</w:t>
      </w:r>
      <w:r>
        <w:rPr>
          <w:rFonts w:ascii="Times New Roman" w:eastAsia="Times New Roman"/>
          <w:lang w:eastAsia="zh-CN"/>
        </w:rPr>
        <w:t>2</w:t>
      </w:r>
      <w:r>
        <w:rPr>
          <w:lang w:eastAsia="zh-CN"/>
        </w:rPr>
        <w:t>）任何一方依法提请原告方所在地人民法院通过诉讼程序解决。</w:t>
      </w:r>
    </w:p>
    <w:p>
      <w:pPr>
        <w:pStyle w:val="4"/>
        <w:tabs>
          <w:tab w:val="left" w:pos="5254"/>
        </w:tabs>
        <w:ind w:left="3648"/>
      </w:pPr>
      <w:r>
        <w:t>第十一章</w:t>
      </w:r>
      <w:r>
        <w:tab/>
      </w:r>
      <w:r>
        <w:t>其他</w:t>
      </w:r>
    </w:p>
    <w:p>
      <w:pPr>
        <w:pStyle w:val="12"/>
        <w:numPr>
          <w:ilvl w:val="1"/>
          <w:numId w:val="10"/>
        </w:numPr>
        <w:tabs>
          <w:tab w:val="left" w:pos="1885"/>
        </w:tabs>
        <w:spacing w:before="233" w:line="328" w:lineRule="auto"/>
        <w:ind w:right="640" w:firstLine="640"/>
        <w:jc w:val="both"/>
        <w:rPr>
          <w:sz w:val="32"/>
          <w:lang w:eastAsia="zh-CN"/>
        </w:rPr>
      </w:pPr>
      <w:r>
        <w:rPr>
          <w:sz w:val="32"/>
          <w:lang w:eastAsia="zh-CN"/>
        </w:rPr>
        <w:t>本合同及其附件构成双方就本合同标的达成的全部内容，交易中心按本合同约定的结算模式出具结算依据。</w:t>
      </w:r>
    </w:p>
    <w:p>
      <w:pPr>
        <w:pStyle w:val="12"/>
        <w:numPr>
          <w:ilvl w:val="1"/>
          <w:numId w:val="10"/>
        </w:numPr>
        <w:tabs>
          <w:tab w:val="left" w:pos="1885"/>
        </w:tabs>
        <w:spacing w:before="233" w:line="328" w:lineRule="auto"/>
        <w:ind w:right="640" w:firstLine="640"/>
        <w:jc w:val="both"/>
        <w:rPr>
          <w:spacing w:val="-10"/>
          <w:sz w:val="32"/>
          <w:lang w:eastAsia="zh-CN"/>
        </w:rPr>
        <w:sectPr>
          <w:pgSz w:w="11910" w:h="16840"/>
          <w:pgMar w:top="1520" w:right="1160" w:bottom="1180" w:left="1180" w:header="0" w:footer="901" w:gutter="0"/>
          <w:cols w:space="720" w:num="1"/>
        </w:sectPr>
      </w:pPr>
      <w:r>
        <w:rPr>
          <w:sz w:val="32"/>
          <w:lang w:eastAsia="zh-CN"/>
        </w:rPr>
        <w:t>本合同</w:t>
      </w:r>
      <w:r>
        <w:rPr>
          <w:rFonts w:hint="eastAsia"/>
          <w:sz w:val="32"/>
          <w:lang w:eastAsia="zh-CN"/>
        </w:rPr>
        <w:t>一式肆份，甲、乙双方各持两份。</w:t>
      </w:r>
    </w:p>
    <w:p>
      <w:pPr>
        <w:spacing w:line="328" w:lineRule="auto"/>
        <w:rPr>
          <w:sz w:val="32"/>
          <w:lang w:eastAsia="zh-CN"/>
        </w:rPr>
      </w:pPr>
      <w:bookmarkStart w:id="19" w:name="第十一章_其他"/>
      <w:bookmarkEnd w:id="19"/>
      <w:bookmarkStart w:id="20" w:name="第十章_争议解决"/>
      <w:bookmarkEnd w:id="20"/>
      <w:bookmarkStart w:id="21" w:name="_bookmark10"/>
      <w:bookmarkEnd w:id="21"/>
      <w:bookmarkStart w:id="22" w:name="_bookmark9"/>
      <w:bookmarkEnd w:id="22"/>
    </w:p>
    <w:p>
      <w:pPr>
        <w:tabs>
          <w:tab w:val="left" w:pos="1260"/>
        </w:tabs>
        <w:spacing w:before="100" w:beforeAutospacing="1" w:after="100" w:afterAutospacing="1" w:line="560" w:lineRule="exact"/>
        <w:ind w:left="440" w:leftChars="200" w:firstLine="640" w:firstLineChars="200"/>
        <w:rPr>
          <w:rFonts w:ascii="Times New Roman" w:hAnsi="Times New Roman" w:eastAsia="仿宋_GB2312" w:cs="Times New Roman"/>
          <w:snapToGrid w:val="0"/>
          <w:color w:val="000000"/>
          <w:sz w:val="32"/>
          <w:szCs w:val="32"/>
          <w:lang w:eastAsia="zh-CN"/>
        </w:rPr>
      </w:pPr>
      <w:r>
        <w:rPr>
          <w:rFonts w:hint="eastAsia" w:ascii="Times New Roman" w:hAnsi="Times New Roman" w:eastAsia="仿宋_GB2312" w:cs="Times New Roman"/>
          <w:snapToGrid w:val="0"/>
          <w:color w:val="000000"/>
          <w:sz w:val="32"/>
          <w:szCs w:val="32"/>
          <w:lang w:eastAsia="zh-CN"/>
        </w:rPr>
        <w:t>附表1：电能量结算模式设置表</w:t>
      </w:r>
    </w:p>
    <w:p>
      <w:pPr>
        <w:tabs>
          <w:tab w:val="left" w:pos="1260"/>
        </w:tabs>
        <w:spacing w:before="100" w:beforeAutospacing="1" w:after="100" w:afterAutospacing="1" w:line="560" w:lineRule="exact"/>
        <w:ind w:left="440" w:leftChars="200" w:firstLine="640" w:firstLineChars="200"/>
        <w:rPr>
          <w:rFonts w:ascii="Times New Roman" w:hAnsi="Times New Roman" w:eastAsia="仿宋_GB2312" w:cs="Times New Roman"/>
          <w:snapToGrid w:val="0"/>
          <w:color w:val="000000"/>
          <w:sz w:val="32"/>
          <w:szCs w:val="32"/>
          <w:lang w:eastAsia="zh-CN"/>
        </w:rPr>
      </w:pPr>
      <w:r>
        <w:rPr>
          <w:rFonts w:hint="eastAsia" w:ascii="Times New Roman" w:hAnsi="Times New Roman" w:eastAsia="仿宋_GB2312" w:cs="Times New Roman"/>
          <w:snapToGrid w:val="0"/>
          <w:color w:val="000000"/>
          <w:sz w:val="32"/>
          <w:szCs w:val="32"/>
          <w:lang w:eastAsia="zh-CN"/>
        </w:rPr>
        <w:t>附表2：绿电环境溢价结算模式设置表</w:t>
      </w:r>
    </w:p>
    <w:p>
      <w:pPr>
        <w:tabs>
          <w:tab w:val="left" w:pos="1260"/>
        </w:tabs>
        <w:spacing w:before="100" w:beforeAutospacing="1" w:after="100" w:afterAutospacing="1" w:line="560" w:lineRule="exact"/>
        <w:ind w:left="440" w:leftChars="200" w:firstLine="640" w:firstLineChars="200"/>
        <w:rPr>
          <w:rFonts w:ascii="Times New Roman" w:hAnsi="Times New Roman" w:eastAsia="仿宋_GB2312" w:cs="Times New Roman"/>
          <w:snapToGrid w:val="0"/>
          <w:color w:val="000000"/>
          <w:sz w:val="32"/>
          <w:szCs w:val="32"/>
          <w:lang w:eastAsia="zh-CN"/>
        </w:rPr>
      </w:pPr>
      <w:r>
        <w:rPr>
          <w:rFonts w:hint="eastAsia" w:ascii="Times New Roman" w:hAnsi="Times New Roman" w:eastAsia="仿宋_GB2312" w:cs="Times New Roman"/>
          <w:snapToGrid w:val="0"/>
          <w:color w:val="000000"/>
          <w:sz w:val="32"/>
          <w:szCs w:val="32"/>
          <w:lang w:eastAsia="zh-CN"/>
        </w:rPr>
        <w:t>附表3：</w:t>
      </w:r>
      <w:r>
        <w:rPr>
          <w:rFonts w:ascii="Times New Roman" w:hAnsi="Times New Roman" w:eastAsia="仿宋_GB2312" w:cs="Times New Roman"/>
          <w:snapToGrid w:val="0"/>
          <w:color w:val="000000"/>
          <w:sz w:val="32"/>
          <w:szCs w:val="32"/>
          <w:lang w:eastAsia="zh-CN"/>
        </w:rPr>
        <w:t>电力用户2023年计划电量明细表</w:t>
      </w:r>
    </w:p>
    <w:p>
      <w:pPr>
        <w:pStyle w:val="2"/>
        <w:ind w:left="440"/>
        <w:rPr>
          <w:lang w:eastAsia="zh-CN"/>
        </w:rPr>
        <w:sectPr>
          <w:pgSz w:w="11910" w:h="16840"/>
          <w:pgMar w:top="1520" w:right="1160" w:bottom="1180" w:left="1180" w:header="0" w:footer="901" w:gutter="0"/>
          <w:cols w:space="720" w:num="1"/>
        </w:sectPr>
      </w:pPr>
    </w:p>
    <w:p>
      <w:pPr>
        <w:pStyle w:val="5"/>
        <w:spacing w:before="11"/>
        <w:ind w:left="0"/>
        <w:rPr>
          <w:sz w:val="17"/>
          <w:lang w:eastAsia="zh-CN"/>
        </w:rPr>
      </w:pPr>
    </w:p>
    <w:p>
      <w:pPr>
        <w:pStyle w:val="5"/>
        <w:spacing w:before="55"/>
        <w:rPr>
          <w:lang w:eastAsia="zh-CN"/>
        </w:rPr>
      </w:pPr>
      <w:r>
        <w:rPr>
          <w:lang w:eastAsia="zh-CN"/>
        </w:rPr>
        <w:t>（此页无正文）</w:t>
      </w:r>
    </w:p>
    <w:p>
      <w:pPr>
        <w:pStyle w:val="5"/>
        <w:ind w:left="0"/>
        <w:rPr>
          <w:lang w:eastAsia="zh-CN"/>
        </w:rPr>
      </w:pPr>
    </w:p>
    <w:p>
      <w:pPr>
        <w:pStyle w:val="5"/>
        <w:ind w:left="0"/>
        <w:rPr>
          <w:lang w:eastAsia="zh-CN"/>
        </w:rPr>
      </w:pPr>
    </w:p>
    <w:p>
      <w:pPr>
        <w:pStyle w:val="5"/>
        <w:spacing w:before="1"/>
        <w:ind w:left="0"/>
        <w:rPr>
          <w:sz w:val="35"/>
          <w:lang w:eastAsia="zh-CN"/>
        </w:rPr>
      </w:pPr>
    </w:p>
    <w:p>
      <w:pPr>
        <w:pStyle w:val="5"/>
        <w:tabs>
          <w:tab w:val="left" w:pos="3180"/>
          <w:tab w:val="left" w:pos="6007"/>
          <w:tab w:val="left" w:pos="7660"/>
        </w:tabs>
        <w:spacing w:line="326" w:lineRule="auto"/>
        <w:ind w:right="671"/>
        <w:rPr>
          <w:u w:val="thick"/>
          <w:lang w:eastAsia="zh-CN"/>
        </w:rPr>
      </w:pPr>
      <w:r>
        <w:rPr>
          <w:lang w:eastAsia="zh-CN"/>
        </w:rPr>
        <w:t>甲方：</w:t>
      </w:r>
      <w:r>
        <w:rPr>
          <w:rFonts w:hint="eastAsia"/>
          <w:u w:val="thick"/>
          <w:lang w:eastAsia="zh-CN"/>
        </w:rPr>
        <w:t xml:space="preserve"> </w:t>
      </w:r>
    </w:p>
    <w:p>
      <w:pPr>
        <w:pStyle w:val="5"/>
        <w:tabs>
          <w:tab w:val="left" w:pos="3180"/>
          <w:tab w:val="left" w:pos="6007"/>
          <w:tab w:val="left" w:pos="7660"/>
        </w:tabs>
        <w:spacing w:line="326" w:lineRule="auto"/>
        <w:ind w:left="1260" w:right="671"/>
        <w:rPr>
          <w:u w:val="thick"/>
          <w:lang w:eastAsia="zh-CN"/>
        </w:rPr>
      </w:pPr>
    </w:p>
    <w:p>
      <w:pPr>
        <w:pStyle w:val="5"/>
        <w:tabs>
          <w:tab w:val="left" w:pos="1898"/>
        </w:tabs>
        <w:spacing w:before="3"/>
        <w:rPr>
          <w:rFonts w:ascii="Calibri" w:eastAsia="Calibri"/>
          <w:spacing w:val="15"/>
          <w:lang w:eastAsia="zh-CN"/>
        </w:rPr>
      </w:pPr>
      <w:r>
        <w:rPr>
          <w:spacing w:val="46"/>
          <w:lang w:eastAsia="zh-CN"/>
        </w:rPr>
        <w:t>法</w:t>
      </w:r>
      <w:r>
        <w:rPr>
          <w:spacing w:val="45"/>
          <w:lang w:eastAsia="zh-CN"/>
        </w:rPr>
        <w:t>定</w:t>
      </w:r>
      <w:r>
        <w:rPr>
          <w:spacing w:val="46"/>
          <w:lang w:eastAsia="zh-CN"/>
        </w:rPr>
        <w:t>代表</w:t>
      </w:r>
      <w:r>
        <w:rPr>
          <w:spacing w:val="45"/>
          <w:lang w:eastAsia="zh-CN"/>
        </w:rPr>
        <w:t>人</w:t>
      </w:r>
      <w:r>
        <w:rPr>
          <w:rFonts w:ascii="Calibri" w:eastAsia="Calibri"/>
          <w:lang w:eastAsia="zh-CN"/>
        </w:rPr>
        <w:t>/</w:t>
      </w:r>
      <w:r>
        <w:rPr>
          <w:rFonts w:ascii="Calibri" w:eastAsia="Calibri"/>
          <w:spacing w:val="-41"/>
          <w:lang w:eastAsia="zh-CN"/>
        </w:rPr>
        <w:t xml:space="preserve"> </w:t>
      </w:r>
      <w:r>
        <w:rPr>
          <w:spacing w:val="46"/>
          <w:lang w:eastAsia="zh-CN"/>
        </w:rPr>
        <w:t>授</w:t>
      </w:r>
      <w:r>
        <w:rPr>
          <w:spacing w:val="45"/>
          <w:lang w:eastAsia="zh-CN"/>
        </w:rPr>
        <w:t>权</w:t>
      </w:r>
      <w:r>
        <w:rPr>
          <w:spacing w:val="46"/>
          <w:lang w:eastAsia="zh-CN"/>
        </w:rPr>
        <w:t>代理</w:t>
      </w:r>
      <w:r>
        <w:rPr>
          <w:spacing w:val="45"/>
          <w:lang w:eastAsia="zh-CN"/>
        </w:rPr>
        <w:t>人</w:t>
      </w:r>
      <w:r>
        <w:rPr>
          <w:rFonts w:ascii="Calibri" w:eastAsia="Calibri"/>
          <w:spacing w:val="15"/>
          <w:lang w:eastAsia="zh-CN"/>
        </w:rPr>
        <w:t>:</w:t>
      </w:r>
      <w:r>
        <w:rPr>
          <w:rFonts w:hint="eastAsia"/>
          <w:lang w:eastAsia="zh-CN"/>
        </w:rPr>
        <w:t xml:space="preserve">           </w:t>
      </w:r>
    </w:p>
    <w:p>
      <w:pPr>
        <w:pStyle w:val="5"/>
        <w:tabs>
          <w:tab w:val="left" w:pos="1898"/>
        </w:tabs>
        <w:spacing w:before="3"/>
        <w:rPr>
          <w:rFonts w:ascii="Calibri" w:eastAsia="Calibri"/>
          <w:spacing w:val="15"/>
          <w:lang w:eastAsia="zh-CN"/>
        </w:rPr>
      </w:pPr>
    </w:p>
    <w:p>
      <w:pPr>
        <w:pStyle w:val="5"/>
        <w:spacing w:before="152"/>
        <w:rPr>
          <w:lang w:eastAsia="zh-CN"/>
        </w:rPr>
      </w:pPr>
      <w:r>
        <w:rPr>
          <w:lang w:eastAsia="zh-CN"/>
        </w:rPr>
        <w:t>盖章：</w:t>
      </w:r>
    </w:p>
    <w:p>
      <w:pPr>
        <w:pStyle w:val="5"/>
        <w:ind w:left="0"/>
        <w:rPr>
          <w:lang w:eastAsia="zh-CN"/>
        </w:rPr>
      </w:pPr>
    </w:p>
    <w:p>
      <w:pPr>
        <w:pStyle w:val="5"/>
        <w:ind w:left="0" w:firstLine="640" w:firstLineChars="200"/>
        <w:rPr>
          <w:lang w:eastAsia="zh-CN"/>
        </w:rPr>
      </w:pPr>
      <w:r>
        <w:rPr>
          <w:rFonts w:hint="eastAsia"/>
          <w:lang w:eastAsia="zh-CN"/>
        </w:rPr>
        <w:t>签订时间：</w:t>
      </w:r>
    </w:p>
    <w:p>
      <w:pPr>
        <w:pStyle w:val="5"/>
        <w:ind w:left="0" w:firstLine="640" w:firstLineChars="200"/>
        <w:rPr>
          <w:lang w:eastAsia="zh-CN"/>
        </w:rPr>
      </w:pPr>
    </w:p>
    <w:p>
      <w:pPr>
        <w:pStyle w:val="5"/>
        <w:ind w:left="0" w:firstLine="640" w:firstLineChars="200"/>
        <w:rPr>
          <w:lang w:eastAsia="zh-CN"/>
        </w:rPr>
      </w:pPr>
    </w:p>
    <w:p>
      <w:pPr>
        <w:pStyle w:val="5"/>
        <w:spacing w:before="1"/>
        <w:ind w:left="0"/>
        <w:rPr>
          <w:sz w:val="35"/>
          <w:lang w:eastAsia="zh-CN"/>
        </w:rPr>
      </w:pPr>
    </w:p>
    <w:p>
      <w:pPr>
        <w:pStyle w:val="5"/>
        <w:tabs>
          <w:tab w:val="left" w:pos="3180"/>
          <w:tab w:val="left" w:pos="6007"/>
          <w:tab w:val="left" w:pos="7660"/>
        </w:tabs>
        <w:spacing w:before="1" w:line="326" w:lineRule="auto"/>
        <w:ind w:right="671"/>
        <w:rPr>
          <w:u w:val="thick"/>
          <w:lang w:eastAsia="zh-CN"/>
        </w:rPr>
      </w:pPr>
      <w:r>
        <w:rPr>
          <w:lang w:eastAsia="zh-CN"/>
        </w:rPr>
        <w:t>乙方</w:t>
      </w:r>
      <w:r>
        <w:rPr>
          <w:u w:val="thick"/>
          <w:lang w:eastAsia="zh-CN"/>
        </w:rPr>
        <w:t xml:space="preserve">     </w:t>
      </w:r>
    </w:p>
    <w:p>
      <w:pPr>
        <w:pStyle w:val="5"/>
        <w:tabs>
          <w:tab w:val="left" w:pos="3180"/>
          <w:tab w:val="left" w:pos="6007"/>
          <w:tab w:val="left" w:pos="7660"/>
        </w:tabs>
        <w:spacing w:before="1" w:line="326" w:lineRule="auto"/>
        <w:ind w:left="1260" w:right="671"/>
        <w:rPr>
          <w:u w:val="thick"/>
          <w:lang w:eastAsia="zh-CN"/>
        </w:rPr>
      </w:pPr>
    </w:p>
    <w:p>
      <w:pPr>
        <w:pStyle w:val="5"/>
        <w:spacing w:before="3"/>
        <w:rPr>
          <w:rFonts w:ascii="Calibri"/>
          <w:spacing w:val="15"/>
          <w:lang w:eastAsia="zh-CN"/>
        </w:rPr>
      </w:pPr>
      <w:r>
        <w:rPr>
          <w:spacing w:val="46"/>
          <w:lang w:eastAsia="zh-CN"/>
        </w:rPr>
        <w:t>法</w:t>
      </w:r>
      <w:r>
        <w:rPr>
          <w:spacing w:val="45"/>
          <w:lang w:eastAsia="zh-CN"/>
        </w:rPr>
        <w:t>定</w:t>
      </w:r>
      <w:r>
        <w:rPr>
          <w:spacing w:val="46"/>
          <w:lang w:eastAsia="zh-CN"/>
        </w:rPr>
        <w:t>代表</w:t>
      </w:r>
      <w:r>
        <w:rPr>
          <w:spacing w:val="45"/>
          <w:lang w:eastAsia="zh-CN"/>
        </w:rPr>
        <w:t>人</w:t>
      </w:r>
      <w:r>
        <w:rPr>
          <w:rFonts w:ascii="Calibri" w:eastAsia="Calibri"/>
          <w:lang w:eastAsia="zh-CN"/>
        </w:rPr>
        <w:t>/</w:t>
      </w:r>
      <w:r>
        <w:rPr>
          <w:rFonts w:ascii="Calibri" w:eastAsia="Calibri"/>
          <w:spacing w:val="-41"/>
          <w:lang w:eastAsia="zh-CN"/>
        </w:rPr>
        <w:t xml:space="preserve"> </w:t>
      </w:r>
      <w:r>
        <w:rPr>
          <w:spacing w:val="46"/>
          <w:lang w:eastAsia="zh-CN"/>
        </w:rPr>
        <w:t>授</w:t>
      </w:r>
      <w:r>
        <w:rPr>
          <w:spacing w:val="45"/>
          <w:lang w:eastAsia="zh-CN"/>
        </w:rPr>
        <w:t>权</w:t>
      </w:r>
      <w:r>
        <w:rPr>
          <w:spacing w:val="46"/>
          <w:lang w:eastAsia="zh-CN"/>
        </w:rPr>
        <w:t>代理</w:t>
      </w:r>
      <w:r>
        <w:rPr>
          <w:spacing w:val="45"/>
          <w:lang w:eastAsia="zh-CN"/>
        </w:rPr>
        <w:t>人</w:t>
      </w:r>
      <w:r>
        <w:rPr>
          <w:rFonts w:ascii="Calibri" w:eastAsia="Calibri"/>
          <w:spacing w:val="15"/>
          <w:lang w:eastAsia="zh-CN"/>
        </w:rPr>
        <w:t xml:space="preserve">: </w:t>
      </w:r>
      <w:r>
        <w:rPr>
          <w:rFonts w:ascii="Calibri" w:eastAsia="Calibri"/>
          <w:spacing w:val="15"/>
          <w:lang w:eastAsia="zh-CN"/>
        </w:rPr>
        <w:tab/>
      </w:r>
      <w:r>
        <w:rPr>
          <w:rFonts w:hint="eastAsia" w:ascii="Calibri"/>
          <w:spacing w:val="15"/>
          <w:lang w:eastAsia="zh-CN"/>
        </w:rPr>
        <w:t xml:space="preserve">              </w:t>
      </w:r>
    </w:p>
    <w:p>
      <w:pPr>
        <w:pStyle w:val="5"/>
        <w:spacing w:before="3"/>
        <w:rPr>
          <w:rFonts w:ascii="Calibri" w:eastAsia="Calibri"/>
          <w:spacing w:val="15"/>
          <w:u w:val="thick"/>
          <w:lang w:eastAsia="zh-CN"/>
        </w:rPr>
      </w:pPr>
    </w:p>
    <w:p>
      <w:pPr>
        <w:pStyle w:val="5"/>
        <w:spacing w:before="151"/>
        <w:rPr>
          <w:lang w:eastAsia="zh-CN"/>
        </w:rPr>
      </w:pPr>
      <w:r>
        <w:rPr>
          <w:lang w:eastAsia="zh-CN"/>
        </w:rPr>
        <w:t>盖章：</w:t>
      </w:r>
    </w:p>
    <w:p>
      <w:pPr>
        <w:rPr>
          <w:lang w:eastAsia="zh-CN"/>
        </w:rPr>
      </w:pPr>
    </w:p>
    <w:p>
      <w:pPr>
        <w:pStyle w:val="5"/>
        <w:ind w:left="0" w:firstLine="640" w:firstLineChars="200"/>
        <w:rPr>
          <w:lang w:eastAsia="zh-CN"/>
        </w:rPr>
        <w:sectPr>
          <w:pgSz w:w="11910" w:h="16840"/>
          <w:pgMar w:top="1580" w:right="1160" w:bottom="1180" w:left="1180" w:header="0" w:footer="901" w:gutter="0"/>
          <w:cols w:space="720" w:num="1"/>
        </w:sectPr>
      </w:pPr>
      <w:r>
        <w:rPr>
          <w:rFonts w:hint="eastAsia"/>
          <w:lang w:eastAsia="zh-CN"/>
        </w:rPr>
        <w:t>签订时间：</w:t>
      </w:r>
    </w:p>
    <w:p>
      <w:pPr>
        <w:pStyle w:val="3"/>
        <w:rPr>
          <w:lang w:eastAsia="zh-CN"/>
        </w:rPr>
      </w:pPr>
      <w:bookmarkStart w:id="23" w:name="附表1：电能量结算模式设置表"/>
      <w:bookmarkEnd w:id="23"/>
      <w:r>
        <w:rPr>
          <w:lang w:eastAsia="zh-CN"/>
        </w:rPr>
        <w:t>附表 1：电能量结算模式设置表</w:t>
      </w:r>
    </w:p>
    <w:p>
      <w:pPr>
        <w:pStyle w:val="5"/>
        <w:spacing w:before="3"/>
        <w:ind w:left="0"/>
        <w:rPr>
          <w:sz w:val="25"/>
          <w:lang w:eastAsia="zh-CN"/>
        </w:rPr>
      </w:pPr>
    </w:p>
    <w:tbl>
      <w:tblPr>
        <w:tblStyle w:val="9"/>
        <w:tblW w:w="9296" w:type="dxa"/>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00"/>
        <w:gridCol w:w="2398"/>
        <w:gridCol w:w="2398"/>
        <w:gridCol w:w="24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50" w:hRule="atLeast"/>
        </w:trPr>
        <w:tc>
          <w:tcPr>
            <w:tcW w:w="9296" w:type="dxa"/>
            <w:gridSpan w:val="4"/>
          </w:tcPr>
          <w:p>
            <w:pPr>
              <w:pStyle w:val="13"/>
              <w:spacing w:before="171"/>
              <w:ind w:left="3180" w:right="3154"/>
              <w:jc w:val="center"/>
              <w:rPr>
                <w:b/>
                <w:sz w:val="24"/>
              </w:rPr>
            </w:pPr>
            <w:r>
              <w:rPr>
                <w:b/>
                <w:sz w:val="24"/>
              </w:rPr>
              <w:t>一、固定价格部分（必填）</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50" w:hRule="atLeast"/>
        </w:trPr>
        <w:tc>
          <w:tcPr>
            <w:tcW w:w="2100" w:type="dxa"/>
          </w:tcPr>
          <w:p>
            <w:pPr>
              <w:pStyle w:val="13"/>
              <w:spacing w:before="4"/>
              <w:rPr>
                <w:sz w:val="16"/>
              </w:rPr>
            </w:pPr>
          </w:p>
          <w:p>
            <w:pPr>
              <w:pStyle w:val="13"/>
              <w:ind w:left="97" w:right="70"/>
              <w:jc w:val="center"/>
              <w:rPr>
                <w:sz w:val="18"/>
              </w:rPr>
            </w:pPr>
            <w:r>
              <w:rPr>
                <w:sz w:val="18"/>
              </w:rPr>
              <w:t>按实际用电量占比</w:t>
            </w:r>
          </w:p>
        </w:tc>
        <w:tc>
          <w:tcPr>
            <w:tcW w:w="2398" w:type="dxa"/>
          </w:tcPr>
          <w:p>
            <w:pPr>
              <w:pStyle w:val="13"/>
              <w:spacing w:before="4"/>
              <w:rPr>
                <w:sz w:val="16"/>
              </w:rPr>
            </w:pPr>
          </w:p>
          <w:p>
            <w:pPr>
              <w:pStyle w:val="13"/>
              <w:ind w:left="187" w:right="160"/>
              <w:jc w:val="center"/>
              <w:rPr>
                <w:sz w:val="18"/>
              </w:rPr>
            </w:pPr>
            <w:r>
              <w:rPr>
                <w:sz w:val="18"/>
              </w:rPr>
              <w:t>平段价格</w:t>
            </w:r>
          </w:p>
        </w:tc>
        <w:tc>
          <w:tcPr>
            <w:tcW w:w="2398" w:type="dxa"/>
          </w:tcPr>
          <w:p>
            <w:pPr>
              <w:pStyle w:val="13"/>
              <w:spacing w:before="4"/>
              <w:rPr>
                <w:sz w:val="16"/>
              </w:rPr>
            </w:pPr>
          </w:p>
          <w:p>
            <w:pPr>
              <w:pStyle w:val="13"/>
              <w:ind w:left="186" w:right="160"/>
              <w:jc w:val="center"/>
              <w:rPr>
                <w:sz w:val="18"/>
              </w:rPr>
            </w:pPr>
            <w:r>
              <w:rPr>
                <w:sz w:val="18"/>
              </w:rPr>
              <w:t>峰段价格</w:t>
            </w:r>
          </w:p>
        </w:tc>
        <w:tc>
          <w:tcPr>
            <w:tcW w:w="2400" w:type="dxa"/>
          </w:tcPr>
          <w:p>
            <w:pPr>
              <w:pStyle w:val="13"/>
              <w:spacing w:before="4"/>
              <w:rPr>
                <w:sz w:val="16"/>
              </w:rPr>
            </w:pPr>
          </w:p>
          <w:p>
            <w:pPr>
              <w:pStyle w:val="13"/>
              <w:ind w:left="188" w:right="160"/>
              <w:jc w:val="center"/>
              <w:rPr>
                <w:sz w:val="18"/>
              </w:rPr>
            </w:pPr>
            <w:r>
              <w:rPr>
                <w:sz w:val="18"/>
              </w:rPr>
              <w:t>谷段价格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50" w:hRule="atLeast"/>
        </w:trPr>
        <w:tc>
          <w:tcPr>
            <w:tcW w:w="2100" w:type="dxa"/>
            <w:shd w:val="clear" w:color="auto" w:fill="BCD5ED"/>
          </w:tcPr>
          <w:p>
            <w:pPr>
              <w:pStyle w:val="13"/>
              <w:spacing w:before="5"/>
              <w:rPr>
                <w:sz w:val="16"/>
              </w:rPr>
            </w:pPr>
          </w:p>
          <w:p>
            <w:pPr>
              <w:pStyle w:val="13"/>
              <w:spacing w:before="1"/>
              <w:ind w:left="26"/>
              <w:jc w:val="center"/>
              <w:rPr>
                <w:sz w:val="18"/>
              </w:rPr>
            </w:pPr>
            <w:r>
              <w:rPr>
                <w:rFonts w:hint="eastAsia"/>
                <w:sz w:val="18"/>
                <w:lang w:eastAsia="zh-CN"/>
              </w:rPr>
              <w:t>90</w:t>
            </w:r>
            <w:r>
              <w:rPr>
                <w:sz w:val="18"/>
              </w:rPr>
              <w:t>%</w:t>
            </w:r>
          </w:p>
        </w:tc>
        <w:tc>
          <w:tcPr>
            <w:tcW w:w="2398" w:type="dxa"/>
            <w:shd w:val="clear" w:color="auto" w:fill="BCD5ED"/>
          </w:tcPr>
          <w:p>
            <w:pPr>
              <w:pStyle w:val="13"/>
              <w:spacing w:before="5"/>
              <w:rPr>
                <w:sz w:val="16"/>
                <w:lang w:eastAsia="zh-CN"/>
              </w:rPr>
            </w:pPr>
          </w:p>
          <w:p>
            <w:pPr>
              <w:pStyle w:val="13"/>
              <w:spacing w:before="1"/>
              <w:ind w:left="187" w:right="160"/>
              <w:jc w:val="center"/>
              <w:rPr>
                <w:sz w:val="18"/>
                <w:lang w:eastAsia="zh-CN"/>
              </w:rPr>
            </w:pPr>
            <w:r>
              <w:rPr>
                <w:rFonts w:hint="eastAsia"/>
                <w:sz w:val="18"/>
                <w:u w:val="single"/>
                <w:lang w:eastAsia="zh-CN"/>
              </w:rPr>
              <w:t xml:space="preserve"> </w:t>
            </w:r>
            <w:r>
              <w:rPr>
                <w:rFonts w:hint="eastAsia"/>
                <w:sz w:val="18"/>
                <w:lang w:eastAsia="zh-CN"/>
              </w:rPr>
              <w:t>厘</w:t>
            </w:r>
            <w:r>
              <w:rPr>
                <w:sz w:val="18"/>
                <w:lang w:eastAsia="zh-CN"/>
              </w:rPr>
              <w:t>/千瓦时</w:t>
            </w:r>
          </w:p>
        </w:tc>
        <w:tc>
          <w:tcPr>
            <w:tcW w:w="2398" w:type="dxa"/>
          </w:tcPr>
          <w:p>
            <w:pPr>
              <w:pStyle w:val="13"/>
              <w:spacing w:before="5"/>
              <w:rPr>
                <w:sz w:val="16"/>
                <w:lang w:eastAsia="zh-CN"/>
              </w:rPr>
            </w:pPr>
          </w:p>
          <w:p>
            <w:pPr>
              <w:pStyle w:val="13"/>
              <w:spacing w:before="1"/>
              <w:ind w:left="188" w:right="160"/>
              <w:jc w:val="center"/>
              <w:rPr>
                <w:sz w:val="18"/>
                <w:lang w:eastAsia="zh-CN"/>
              </w:rPr>
            </w:pPr>
            <w:r>
              <w:rPr>
                <w:sz w:val="18"/>
                <w:lang w:eastAsia="zh-CN"/>
              </w:rPr>
              <w:t>系统根据峰电价比例计算</w:t>
            </w:r>
          </w:p>
        </w:tc>
        <w:tc>
          <w:tcPr>
            <w:tcW w:w="2400" w:type="dxa"/>
          </w:tcPr>
          <w:p>
            <w:pPr>
              <w:pStyle w:val="13"/>
              <w:spacing w:before="5"/>
              <w:rPr>
                <w:sz w:val="16"/>
                <w:lang w:eastAsia="zh-CN"/>
              </w:rPr>
            </w:pPr>
          </w:p>
          <w:p>
            <w:pPr>
              <w:pStyle w:val="13"/>
              <w:spacing w:before="1"/>
              <w:ind w:left="190" w:right="160"/>
              <w:jc w:val="center"/>
              <w:rPr>
                <w:sz w:val="18"/>
                <w:lang w:eastAsia="zh-CN"/>
              </w:rPr>
            </w:pPr>
            <w:r>
              <w:rPr>
                <w:sz w:val="18"/>
                <w:lang w:eastAsia="zh-CN"/>
              </w:rPr>
              <w:t>系统根据谷电价比例计算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75" w:hRule="atLeast"/>
        </w:trPr>
        <w:tc>
          <w:tcPr>
            <w:tcW w:w="9296" w:type="dxa"/>
            <w:gridSpan w:val="4"/>
            <w:tcBorders>
              <w:bottom w:val="single" w:color="000000" w:sz="4" w:space="0"/>
            </w:tcBorders>
          </w:tcPr>
          <w:p>
            <w:pPr>
              <w:pStyle w:val="13"/>
              <w:spacing w:before="12"/>
              <w:rPr>
                <w:sz w:val="20"/>
                <w:lang w:eastAsia="zh-CN"/>
              </w:rPr>
            </w:pPr>
          </w:p>
          <w:p>
            <w:pPr>
              <w:pStyle w:val="13"/>
              <w:ind w:left="108"/>
              <w:rPr>
                <w:sz w:val="16"/>
                <w:lang w:eastAsia="zh-CN"/>
              </w:rPr>
            </w:pPr>
            <w:r>
              <w:rPr>
                <w:sz w:val="16"/>
                <w:lang w:eastAsia="zh-CN"/>
              </w:rPr>
              <w:t>备注：</w:t>
            </w:r>
          </w:p>
          <w:p>
            <w:pPr>
              <w:pStyle w:val="13"/>
              <w:spacing w:before="95"/>
              <w:ind w:left="427"/>
              <w:rPr>
                <w:sz w:val="16"/>
                <w:lang w:eastAsia="zh-CN"/>
              </w:rPr>
            </w:pPr>
            <w:r>
              <w:rPr>
                <w:sz w:val="16"/>
                <w:lang w:eastAsia="zh-CN"/>
              </w:rPr>
              <w:t>1.峰谷分时用户（计量点）须执行峰谷价格，非峰谷分时用户（计量点）仅执行平段价格。</w:t>
            </w:r>
          </w:p>
          <w:p>
            <w:pPr>
              <w:pStyle w:val="13"/>
              <w:spacing w:before="95" w:line="350" w:lineRule="auto"/>
              <w:ind w:left="108" w:right="-15" w:firstLine="319"/>
              <w:rPr>
                <w:sz w:val="16"/>
                <w:lang w:eastAsia="zh-CN"/>
              </w:rPr>
            </w:pPr>
            <w:r>
              <w:rPr>
                <w:sz w:val="16"/>
                <w:lang w:eastAsia="zh-CN"/>
              </w:rPr>
              <w:t>2</w:t>
            </w:r>
            <w:r>
              <w:rPr>
                <w:spacing w:val="-6"/>
                <w:sz w:val="16"/>
                <w:lang w:eastAsia="zh-CN"/>
              </w:rPr>
              <w:t>.峰谷电价按政府规定的比价关系和用户计量点所在地区执行。其中广东省内</w:t>
            </w:r>
            <w:r>
              <w:rPr>
                <w:spacing w:val="-3"/>
                <w:sz w:val="16"/>
                <w:lang w:eastAsia="zh-CN"/>
              </w:rPr>
              <w:t>（</w:t>
            </w:r>
            <w:r>
              <w:rPr>
                <w:spacing w:val="-2"/>
                <w:sz w:val="16"/>
                <w:lang w:eastAsia="zh-CN"/>
              </w:rPr>
              <w:t>不含深圳</w:t>
            </w:r>
            <w:r>
              <w:rPr>
                <w:spacing w:val="-32"/>
                <w:sz w:val="16"/>
                <w:lang w:eastAsia="zh-CN"/>
              </w:rPr>
              <w:t>）</w:t>
            </w:r>
            <w:r>
              <w:rPr>
                <w:spacing w:val="-4"/>
                <w:sz w:val="16"/>
                <w:lang w:eastAsia="zh-CN"/>
              </w:rPr>
              <w:t xml:space="preserve">计量点峰谷电价比例：1.7:1:0.38； </w:t>
            </w:r>
            <w:r>
              <w:rPr>
                <w:spacing w:val="-3"/>
                <w:sz w:val="16"/>
                <w:lang w:eastAsia="zh-CN"/>
              </w:rPr>
              <w:t>深圳计量点峰谷电价比例：</w:t>
            </w:r>
            <w:r>
              <w:rPr>
                <w:sz w:val="16"/>
                <w:lang w:eastAsia="zh-CN"/>
              </w:rPr>
              <w:t>1.53:1:0.32</w:t>
            </w:r>
            <w:r>
              <w:rPr>
                <w:spacing w:val="-3"/>
                <w:sz w:val="16"/>
                <w:lang w:eastAsia="zh-CN"/>
              </w:rPr>
              <w:t>；冰蓄冷计量点峰谷电价比例：</w:t>
            </w:r>
            <w:r>
              <w:rPr>
                <w:sz w:val="16"/>
                <w:lang w:eastAsia="zh-CN"/>
              </w:rPr>
              <w:t>1.65:1:0.25。</w:t>
            </w:r>
          </w:p>
          <w:p>
            <w:pPr>
              <w:pStyle w:val="13"/>
              <w:spacing w:before="1"/>
              <w:ind w:left="427"/>
              <w:rPr>
                <w:sz w:val="16"/>
                <w:lang w:eastAsia="zh-CN"/>
              </w:rPr>
            </w:pPr>
            <w:r>
              <w:rPr>
                <w:sz w:val="16"/>
                <w:lang w:eastAsia="zh-CN"/>
              </w:rPr>
              <w:t>3.用户电能量总电费=固定价格电费+市场联动电费+煤电联动电费（可选）+上浮电费（可选）。其中固定价格部分电费=用户</w:t>
            </w:r>
          </w:p>
          <w:p>
            <w:pPr>
              <w:pStyle w:val="13"/>
              <w:spacing w:before="95"/>
              <w:ind w:left="108"/>
              <w:rPr>
                <w:sz w:val="16"/>
                <w:lang w:eastAsia="zh-CN"/>
              </w:rPr>
            </w:pPr>
            <w:r>
              <w:rPr>
                <w:sz w:val="16"/>
                <w:lang w:eastAsia="zh-CN"/>
              </w:rPr>
              <w:t>（峰/平/谷)实际用电量×合同约定的电量比例×固定（峰/平/谷)价格。</w:t>
            </w:r>
          </w:p>
          <w:p>
            <w:pPr>
              <w:pStyle w:val="13"/>
              <w:spacing w:before="95"/>
              <w:ind w:left="427"/>
              <w:rPr>
                <w:sz w:val="16"/>
                <w:lang w:eastAsia="zh-CN"/>
              </w:rPr>
            </w:pPr>
            <w:r>
              <w:rPr>
                <w:sz w:val="16"/>
                <w:lang w:eastAsia="zh-CN"/>
              </w:rPr>
              <w:t>4.电能量固定价格和市场联动价格各占比之和等于 100%。</w:t>
            </w:r>
          </w:p>
          <w:p>
            <w:pPr>
              <w:pStyle w:val="13"/>
              <w:spacing w:before="95"/>
              <w:ind w:left="427"/>
              <w:rPr>
                <w:sz w:val="16"/>
                <w:lang w:eastAsia="zh-CN"/>
              </w:rPr>
            </w:pPr>
            <w:r>
              <w:rPr>
                <w:sz w:val="16"/>
                <w:lang w:eastAsia="zh-CN"/>
              </w:rPr>
              <w:t>5.固定价格电量比例可能设置上、下限值，具体数值以政府最终发布的年度交易方案和规则为准。</w:t>
            </w:r>
          </w:p>
          <w:p>
            <w:pPr>
              <w:pStyle w:val="13"/>
              <w:spacing w:before="95"/>
              <w:ind w:left="427"/>
              <w:rPr>
                <w:sz w:val="16"/>
                <w:lang w:eastAsia="zh-CN"/>
              </w:rPr>
            </w:pPr>
            <w:r>
              <w:rPr>
                <w:sz w:val="16"/>
                <w:lang w:eastAsia="zh-CN"/>
              </w:rPr>
              <w:t>6.平段价格浮动范围暂为参考基准价的±20%，即平段价格介于 372 至 554 厘/千瓦时之间。</w:t>
            </w:r>
          </w:p>
          <w:p>
            <w:pPr>
              <w:pStyle w:val="13"/>
              <w:spacing w:before="95"/>
              <w:ind w:left="427"/>
              <w:rPr>
                <w:sz w:val="16"/>
                <w:lang w:eastAsia="zh-CN"/>
              </w:rPr>
            </w:pPr>
            <w:r>
              <w:rPr>
                <w:rFonts w:hint="eastAsia"/>
                <w:sz w:val="16"/>
                <w:lang w:eastAsia="zh-CN"/>
              </w:rPr>
              <w:t>7.当</w:t>
            </w:r>
            <w:r>
              <w:rPr>
                <w:sz w:val="16"/>
                <w:lang w:eastAsia="zh-CN"/>
              </w:rPr>
              <w:t>签订</w:t>
            </w:r>
            <w:r>
              <w:rPr>
                <w:rFonts w:hint="eastAsia"/>
                <w:sz w:val="16"/>
                <w:lang w:eastAsia="zh-CN"/>
              </w:rPr>
              <w:t>的</w:t>
            </w:r>
            <w:r>
              <w:rPr>
                <w:sz w:val="16"/>
                <w:lang w:eastAsia="zh-CN"/>
              </w:rPr>
              <w:t>广东电力零售市场售电公司与电力用户电量交易合同</w:t>
            </w:r>
            <w:r>
              <w:rPr>
                <w:rFonts w:hint="eastAsia"/>
                <w:sz w:val="16"/>
                <w:lang w:eastAsia="zh-CN"/>
              </w:rPr>
              <w:t>整体</w:t>
            </w:r>
            <w:r>
              <w:rPr>
                <w:sz w:val="16"/>
                <w:lang w:eastAsia="zh-CN"/>
              </w:rPr>
              <w:t>价格超出广东</w:t>
            </w:r>
            <w:r>
              <w:rPr>
                <w:rFonts w:hint="eastAsia"/>
                <w:sz w:val="16"/>
                <w:lang w:eastAsia="zh-CN"/>
              </w:rPr>
              <w:t>电力</w:t>
            </w:r>
            <w:r>
              <w:rPr>
                <w:sz w:val="16"/>
                <w:lang w:eastAsia="zh-CN"/>
              </w:rPr>
              <w:t>零售</w:t>
            </w:r>
            <w:r>
              <w:rPr>
                <w:rFonts w:hint="eastAsia"/>
                <w:sz w:val="16"/>
                <w:lang w:eastAsia="zh-CN"/>
              </w:rPr>
              <w:t>市场</w:t>
            </w:r>
            <w:r>
              <w:rPr>
                <w:sz w:val="16"/>
                <w:lang w:eastAsia="zh-CN"/>
              </w:rPr>
              <w:t>政策要求最高限价</w:t>
            </w:r>
            <w:r>
              <w:rPr>
                <w:rFonts w:hint="eastAsia"/>
                <w:sz w:val="16"/>
                <w:lang w:eastAsia="zh-CN"/>
              </w:rPr>
              <w:t>时</w:t>
            </w:r>
            <w:r>
              <w:rPr>
                <w:sz w:val="16"/>
                <w:lang w:eastAsia="zh-CN"/>
              </w:rPr>
              <w:t>，按广东</w:t>
            </w:r>
            <w:r>
              <w:rPr>
                <w:rFonts w:hint="eastAsia"/>
                <w:sz w:val="16"/>
                <w:lang w:eastAsia="zh-CN"/>
              </w:rPr>
              <w:t>电力</w:t>
            </w:r>
            <w:r>
              <w:rPr>
                <w:sz w:val="16"/>
                <w:lang w:eastAsia="zh-CN"/>
              </w:rPr>
              <w:t>零售</w:t>
            </w:r>
            <w:r>
              <w:rPr>
                <w:rFonts w:hint="eastAsia"/>
                <w:sz w:val="16"/>
                <w:lang w:eastAsia="zh-CN"/>
              </w:rPr>
              <w:t>市场</w:t>
            </w:r>
            <w:r>
              <w:rPr>
                <w:sz w:val="16"/>
                <w:lang w:eastAsia="zh-CN"/>
              </w:rPr>
              <w:t>政策要求最高限价</w:t>
            </w:r>
            <w:r>
              <w:rPr>
                <w:rFonts w:hint="eastAsia"/>
                <w:sz w:val="16"/>
                <w:lang w:eastAsia="zh-CN"/>
              </w:rPr>
              <w:t>执行。</w:t>
            </w:r>
          </w:p>
          <w:p>
            <w:pPr>
              <w:pStyle w:val="13"/>
              <w:spacing w:before="95"/>
              <w:ind w:left="427"/>
              <w:rPr>
                <w:sz w:val="16"/>
                <w:lang w:eastAsia="zh-CN"/>
              </w:rPr>
            </w:pPr>
            <w:r>
              <w:rPr>
                <w:rFonts w:hint="eastAsia"/>
                <w:sz w:val="16"/>
                <w:lang w:eastAsia="zh-CN"/>
              </w:rPr>
              <w:t>8.当平段价格超出广东省电力交易中心规定上限值时，超出限值的差额部分按照上浮电费收取。</w:t>
            </w:r>
          </w:p>
          <w:p>
            <w:pPr>
              <w:pStyle w:val="13"/>
              <w:spacing w:before="95"/>
              <w:ind w:left="427"/>
              <w:rPr>
                <w:sz w:val="16"/>
                <w:lang w:eastAsia="zh-CN"/>
              </w:rPr>
            </w:pPr>
            <w:r>
              <w:rPr>
                <w:rFonts w:hint="eastAsia"/>
                <w:sz w:val="16"/>
                <w:lang w:eastAsia="zh-CN"/>
              </w:rPr>
              <w:t>9.2023年广东电力交易系统电子合同价格，双方按照电能量平段价格</w:t>
            </w:r>
            <w:r>
              <w:rPr>
                <w:rFonts w:hint="eastAsia"/>
                <w:sz w:val="16"/>
                <w:lang w:val="en-US" w:eastAsia="zh-CN"/>
              </w:rPr>
              <w:t xml:space="preserve">  </w:t>
            </w:r>
            <w:r>
              <w:rPr>
                <w:rFonts w:hint="eastAsia"/>
                <w:sz w:val="16"/>
                <w:highlight w:val="yellow"/>
                <w:lang w:val="en-US" w:eastAsia="zh-CN"/>
              </w:rPr>
              <w:t xml:space="preserve"> </w:t>
            </w:r>
            <w:r>
              <w:rPr>
                <w:rFonts w:hint="eastAsia"/>
                <w:sz w:val="16"/>
                <w:highlight w:val="magenta"/>
                <w:lang w:val="en-US" w:eastAsia="zh-CN"/>
              </w:rPr>
              <w:t xml:space="preserve">   </w:t>
            </w:r>
            <w:r>
              <w:rPr>
                <w:rFonts w:hint="eastAsia"/>
                <w:sz w:val="16"/>
                <w:lang w:eastAsia="zh-CN"/>
              </w:rPr>
              <w:t>厘/千瓦时，上浮电费电价</w:t>
            </w:r>
            <w:r>
              <w:rPr>
                <w:rFonts w:hint="eastAsia"/>
                <w:sz w:val="16"/>
                <w:lang w:val="en-US" w:eastAsia="zh-CN"/>
              </w:rPr>
              <w:t xml:space="preserve"> </w:t>
            </w:r>
            <w:r>
              <w:rPr>
                <w:rFonts w:hint="eastAsia"/>
                <w:sz w:val="16"/>
                <w:highlight w:val="magenta"/>
                <w:lang w:val="en-US" w:eastAsia="zh-CN"/>
              </w:rPr>
              <w:t xml:space="preserve">   </w:t>
            </w:r>
            <w:r>
              <w:rPr>
                <w:rFonts w:hint="eastAsia"/>
                <w:sz w:val="16"/>
                <w:lang w:val="en-US" w:eastAsia="zh-CN"/>
              </w:rPr>
              <w:t xml:space="preserve"> </w:t>
            </w:r>
            <w:r>
              <w:rPr>
                <w:rFonts w:hint="eastAsia"/>
                <w:sz w:val="16"/>
                <w:lang w:eastAsia="zh-CN"/>
              </w:rPr>
              <w:t>厘/千瓦时录入广东电力交易系统确认与电力用户代理关系，若政府发布零售价格上限，则根据最新价格上限录入电子合同，后续按照广东省交易中心公布的2023年度双边协商均价以及合同约定的条款内容进行线上合同变更。</w:t>
            </w:r>
          </w:p>
          <w:p>
            <w:pPr>
              <w:pStyle w:val="13"/>
              <w:spacing w:before="95"/>
              <w:ind w:left="427"/>
              <w:rPr>
                <w:sz w:val="16"/>
                <w:lang w:eastAsia="zh-CN"/>
              </w:rPr>
            </w:pPr>
          </w:p>
        </w:tc>
      </w:tr>
    </w:tbl>
    <w:p>
      <w:pPr>
        <w:rPr>
          <w:sz w:val="16"/>
          <w:lang w:eastAsia="zh-CN"/>
        </w:rPr>
        <w:sectPr>
          <w:pgSz w:w="11910" w:h="16840"/>
          <w:pgMar w:top="1360" w:right="1160" w:bottom="1180" w:left="1180" w:header="0" w:footer="901" w:gutter="0"/>
          <w:cols w:space="720" w:num="1"/>
        </w:sectPr>
      </w:pPr>
    </w:p>
    <w:p>
      <w:pPr>
        <w:pStyle w:val="5"/>
        <w:ind w:left="0"/>
        <w:rPr>
          <w:rFonts w:ascii="Times New Roman"/>
          <w:sz w:val="20"/>
          <w:lang w:eastAsia="zh-CN"/>
        </w:rPr>
      </w:pPr>
    </w:p>
    <w:p>
      <w:pPr>
        <w:pStyle w:val="5"/>
        <w:spacing w:before="8"/>
        <w:ind w:left="0"/>
        <w:rPr>
          <w:rFonts w:ascii="Times New Roman"/>
          <w:sz w:val="10"/>
          <w:lang w:eastAsia="zh-CN"/>
        </w:rPr>
      </w:pPr>
    </w:p>
    <w:tbl>
      <w:tblPr>
        <w:tblStyle w:val="9"/>
        <w:tblW w:w="9296" w:type="dxa"/>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10"/>
        <w:gridCol w:w="46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50" w:hRule="atLeast"/>
        </w:trPr>
        <w:tc>
          <w:tcPr>
            <w:tcW w:w="9296" w:type="dxa"/>
            <w:gridSpan w:val="2"/>
          </w:tcPr>
          <w:p>
            <w:pPr>
              <w:pStyle w:val="13"/>
              <w:spacing w:before="171"/>
              <w:ind w:left="2959"/>
              <w:rPr>
                <w:b/>
                <w:sz w:val="24"/>
                <w:lang w:eastAsia="zh-CN"/>
              </w:rPr>
            </w:pPr>
            <w:r>
              <w:rPr>
                <w:b/>
                <w:sz w:val="24"/>
                <w:lang w:eastAsia="zh-CN"/>
              </w:rPr>
              <w:t>二、市场联动价格部分（必填）</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50" w:hRule="atLeast"/>
        </w:trPr>
        <w:tc>
          <w:tcPr>
            <w:tcW w:w="4610" w:type="dxa"/>
          </w:tcPr>
          <w:p>
            <w:pPr>
              <w:pStyle w:val="13"/>
              <w:spacing w:before="4"/>
              <w:rPr>
                <w:rFonts w:ascii="Times New Roman"/>
                <w:sz w:val="18"/>
                <w:lang w:eastAsia="zh-CN"/>
              </w:rPr>
            </w:pPr>
          </w:p>
          <w:p>
            <w:pPr>
              <w:pStyle w:val="13"/>
              <w:ind w:left="933" w:right="905"/>
              <w:jc w:val="center"/>
              <w:rPr>
                <w:sz w:val="18"/>
              </w:rPr>
            </w:pPr>
            <w:r>
              <w:rPr>
                <w:sz w:val="18"/>
              </w:rPr>
              <w:t>按实际用电量占比</w:t>
            </w:r>
          </w:p>
        </w:tc>
        <w:tc>
          <w:tcPr>
            <w:tcW w:w="4686" w:type="dxa"/>
          </w:tcPr>
          <w:p>
            <w:pPr>
              <w:pStyle w:val="13"/>
              <w:spacing w:before="4"/>
              <w:rPr>
                <w:rFonts w:ascii="Times New Roman"/>
                <w:sz w:val="18"/>
                <w:lang w:eastAsia="zh-CN"/>
              </w:rPr>
            </w:pPr>
          </w:p>
          <w:p>
            <w:pPr>
              <w:pStyle w:val="13"/>
              <w:ind w:left="1242" w:right="1213"/>
              <w:jc w:val="center"/>
              <w:rPr>
                <w:sz w:val="18"/>
                <w:lang w:eastAsia="zh-CN"/>
              </w:rPr>
            </w:pPr>
            <w:r>
              <w:rPr>
                <w:sz w:val="18"/>
                <w:lang w:eastAsia="zh-CN"/>
              </w:rPr>
              <w:t>市场联动价格类型（平段）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50" w:hRule="atLeast"/>
        </w:trPr>
        <w:tc>
          <w:tcPr>
            <w:tcW w:w="4610" w:type="dxa"/>
            <w:shd w:val="clear" w:color="auto" w:fill="BCD5ED"/>
          </w:tcPr>
          <w:p>
            <w:pPr>
              <w:pStyle w:val="13"/>
              <w:spacing w:before="3"/>
              <w:rPr>
                <w:rFonts w:ascii="Times New Roman"/>
                <w:sz w:val="18"/>
                <w:lang w:eastAsia="zh-CN"/>
              </w:rPr>
            </w:pPr>
          </w:p>
          <w:p>
            <w:pPr>
              <w:pStyle w:val="13"/>
              <w:ind w:left="26"/>
              <w:jc w:val="center"/>
              <w:rPr>
                <w:sz w:val="18"/>
              </w:rPr>
            </w:pPr>
            <w:r>
              <w:rPr>
                <w:rFonts w:hint="eastAsia"/>
                <w:sz w:val="18"/>
                <w:lang w:eastAsia="zh-CN"/>
              </w:rPr>
              <w:t>10</w:t>
            </w:r>
            <w:r>
              <w:rPr>
                <w:sz w:val="18"/>
              </w:rPr>
              <w:t>%</w:t>
            </w:r>
          </w:p>
        </w:tc>
        <w:tc>
          <w:tcPr>
            <w:tcW w:w="4686" w:type="dxa"/>
            <w:shd w:val="clear" w:color="auto" w:fill="BCD5ED"/>
          </w:tcPr>
          <w:p>
            <w:pPr>
              <w:pStyle w:val="13"/>
              <w:spacing w:before="3"/>
              <w:rPr>
                <w:rFonts w:ascii="Times New Roman"/>
                <w:sz w:val="18"/>
                <w:lang w:eastAsia="zh-CN"/>
              </w:rPr>
            </w:pPr>
          </w:p>
          <w:p>
            <w:pPr>
              <w:pStyle w:val="13"/>
              <w:ind w:left="1242" w:right="1213"/>
              <w:rPr>
                <w:spacing w:val="-6"/>
                <w:sz w:val="20"/>
                <w:szCs w:val="20"/>
                <w:lang w:eastAsia="zh-CN"/>
              </w:rPr>
            </w:pPr>
            <w:r>
              <w:rPr>
                <w:spacing w:val="-6"/>
                <w:sz w:val="16"/>
                <w:lang w:eastAsia="zh-CN"/>
              </w:rPr>
              <w:t>月度中长期交易综合价</w:t>
            </w:r>
            <w:bookmarkStart w:id="25" w:name="_GoBack"/>
            <w:bookmarkEnd w:id="25"/>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20" w:hRule="atLeast"/>
        </w:trPr>
        <w:tc>
          <w:tcPr>
            <w:tcW w:w="9296" w:type="dxa"/>
            <w:gridSpan w:val="2"/>
          </w:tcPr>
          <w:p>
            <w:pPr>
              <w:pStyle w:val="13"/>
              <w:spacing w:before="54"/>
              <w:ind w:left="108"/>
              <w:rPr>
                <w:sz w:val="16"/>
                <w:lang w:eastAsia="zh-CN"/>
              </w:rPr>
            </w:pPr>
            <w:r>
              <w:rPr>
                <w:sz w:val="16"/>
                <w:lang w:eastAsia="zh-CN"/>
              </w:rPr>
              <w:t>备注：</w:t>
            </w:r>
          </w:p>
          <w:p>
            <w:pPr>
              <w:pStyle w:val="13"/>
              <w:spacing w:before="107" w:line="364" w:lineRule="auto"/>
              <w:ind w:left="108" w:right="-15" w:firstLine="319"/>
              <w:rPr>
                <w:sz w:val="16"/>
                <w:lang w:eastAsia="zh-CN"/>
              </w:rPr>
            </w:pPr>
            <w:r>
              <w:rPr>
                <w:sz w:val="16"/>
                <w:lang w:eastAsia="zh-CN"/>
              </w:rPr>
              <w:t>1</w:t>
            </w:r>
            <w:r>
              <w:rPr>
                <w:spacing w:val="-6"/>
                <w:sz w:val="16"/>
                <w:lang w:eastAsia="zh-CN"/>
              </w:rPr>
              <w:t>.市场联动价格可选项为：日前市场月度综合价、月度集中竞争交易综合价、月度中长期交易综合价和月度及现货偏差电量加</w:t>
            </w:r>
            <w:r>
              <w:rPr>
                <w:spacing w:val="-11"/>
                <w:sz w:val="16"/>
                <w:lang w:eastAsia="zh-CN"/>
              </w:rPr>
              <w:t xml:space="preserve">权平均价 </w:t>
            </w:r>
            <w:r>
              <w:rPr>
                <w:sz w:val="16"/>
                <w:lang w:eastAsia="zh-CN"/>
              </w:rPr>
              <w:t>4</w:t>
            </w:r>
            <w:r>
              <w:rPr>
                <w:spacing w:val="-11"/>
                <w:sz w:val="16"/>
                <w:lang w:eastAsia="zh-CN"/>
              </w:rPr>
              <w:t xml:space="preserve"> 类，上述价格均包含批发市场用户侧度电分摊单价。具体定义及计算方法详见合同正文第三章名词解释 </w:t>
            </w:r>
            <w:r>
              <w:rPr>
                <w:sz w:val="16"/>
                <w:lang w:eastAsia="zh-CN"/>
              </w:rPr>
              <w:t>3.8</w:t>
            </w:r>
            <w:r>
              <w:rPr>
                <w:spacing w:val="-27"/>
                <w:sz w:val="16"/>
                <w:lang w:eastAsia="zh-CN"/>
              </w:rPr>
              <w:t xml:space="preserve"> 至 </w:t>
            </w:r>
            <w:r>
              <w:rPr>
                <w:sz w:val="16"/>
                <w:lang w:eastAsia="zh-CN"/>
              </w:rPr>
              <w:t>3.11</w:t>
            </w:r>
            <w:r>
              <w:rPr>
                <w:spacing w:val="-14"/>
                <w:sz w:val="16"/>
                <w:lang w:eastAsia="zh-CN"/>
              </w:rPr>
              <w:t xml:space="preserve"> 条。</w:t>
            </w:r>
          </w:p>
          <w:p>
            <w:pPr>
              <w:pStyle w:val="13"/>
              <w:spacing w:before="1" w:line="364" w:lineRule="auto"/>
              <w:ind w:left="108" w:right="35" w:firstLine="319"/>
              <w:rPr>
                <w:sz w:val="16"/>
                <w:lang w:eastAsia="zh-CN"/>
              </w:rPr>
            </w:pPr>
            <w:r>
              <w:rPr>
                <w:sz w:val="16"/>
                <w:lang w:eastAsia="zh-CN"/>
              </w:rPr>
              <w:t>2.市场联动部分电费=用户月度（峰/平/谷)实际用电量×本部分约定的电量比例×约定的市场联动价格×（峰/平/谷）比价。本附表“联动价格部分”的峰谷比价与“固定价格部分”的峰谷比价相同。</w:t>
            </w:r>
          </w:p>
          <w:p>
            <w:pPr>
              <w:pStyle w:val="13"/>
              <w:spacing w:before="1" w:line="364" w:lineRule="auto"/>
              <w:ind w:left="108" w:right="76" w:firstLine="319"/>
              <w:rPr>
                <w:sz w:val="16"/>
                <w:lang w:eastAsia="zh-CN"/>
              </w:rPr>
            </w:pPr>
            <w:r>
              <w:rPr>
                <w:spacing w:val="-1"/>
                <w:sz w:val="16"/>
                <w:lang w:eastAsia="zh-CN"/>
              </w:rPr>
              <w:t>3</w:t>
            </w:r>
            <w:r>
              <w:rPr>
                <w:spacing w:val="-7"/>
                <w:sz w:val="16"/>
                <w:lang w:eastAsia="zh-CN"/>
              </w:rPr>
              <w:t>.双方可选择一个或多个价格设置市场联动模式，但不能同时选择“日前市场月度综合价”和“月度及现货偏差电量加权平均</w:t>
            </w:r>
            <w:r>
              <w:rPr>
                <w:spacing w:val="-3"/>
                <w:sz w:val="16"/>
                <w:lang w:eastAsia="zh-CN"/>
              </w:rPr>
              <w:t>价”进行联动。</w:t>
            </w:r>
          </w:p>
          <w:p>
            <w:pPr>
              <w:pStyle w:val="13"/>
              <w:ind w:left="427" w:right="-15"/>
              <w:rPr>
                <w:sz w:val="16"/>
                <w:lang w:eastAsia="zh-CN"/>
              </w:rPr>
            </w:pPr>
            <w:r>
              <w:rPr>
                <w:sz w:val="16"/>
                <w:lang w:eastAsia="zh-CN"/>
              </w:rPr>
              <w:t>4</w:t>
            </w:r>
            <w:r>
              <w:rPr>
                <w:spacing w:val="-5"/>
                <w:sz w:val="16"/>
                <w:lang w:eastAsia="zh-CN"/>
              </w:rPr>
              <w:t xml:space="preserve">.市场联动价格的约定电量占比之和不低于 </w:t>
            </w:r>
            <w:r>
              <w:rPr>
                <w:spacing w:val="-12"/>
                <w:sz w:val="16"/>
                <w:lang w:eastAsia="zh-CN"/>
              </w:rPr>
              <w:t>10%</w:t>
            </w:r>
            <w:r>
              <w:rPr>
                <w:spacing w:val="-8"/>
                <w:sz w:val="16"/>
                <w:lang w:eastAsia="zh-CN"/>
              </w:rPr>
              <w:t>，同时可能设定上限值，具体数值以政府最终发布的年度交易方案和规则为准。</w:t>
            </w:r>
          </w:p>
          <w:p>
            <w:pPr>
              <w:pStyle w:val="13"/>
              <w:spacing w:before="2" w:line="310" w:lineRule="atLeast"/>
              <w:ind w:left="108" w:right="74" w:firstLine="319"/>
              <w:rPr>
                <w:sz w:val="16"/>
                <w:lang w:eastAsia="zh-CN"/>
              </w:rPr>
            </w:pPr>
            <w:r>
              <w:rPr>
                <w:spacing w:val="-1"/>
                <w:sz w:val="16"/>
                <w:lang w:eastAsia="zh-CN"/>
              </w:rPr>
              <w:t>5</w:t>
            </w:r>
            <w:r>
              <w:rPr>
                <w:spacing w:val="-5"/>
                <w:sz w:val="16"/>
                <w:lang w:eastAsia="zh-CN"/>
              </w:rPr>
              <w:t>.市场联动价格为日前市场月度综合价、月度及现货偏差电量加权平均价的电量占比可能设定上限值，具体数值以政府最终发</w:t>
            </w:r>
            <w:r>
              <w:rPr>
                <w:spacing w:val="-3"/>
                <w:sz w:val="16"/>
                <w:lang w:eastAsia="zh-CN"/>
              </w:rPr>
              <w:t>布的年度交易方案和规则为准。</w:t>
            </w:r>
          </w:p>
        </w:tc>
      </w:tr>
    </w:tbl>
    <w:p>
      <w:pPr>
        <w:pStyle w:val="5"/>
        <w:ind w:left="0"/>
        <w:rPr>
          <w:rFonts w:ascii="Times New Roman"/>
          <w:sz w:val="20"/>
          <w:lang w:eastAsia="zh-CN"/>
        </w:rPr>
      </w:pPr>
    </w:p>
    <w:p>
      <w:pPr>
        <w:pStyle w:val="5"/>
        <w:ind w:left="0"/>
        <w:rPr>
          <w:rFonts w:ascii="Times New Roman"/>
          <w:sz w:val="20"/>
          <w:lang w:eastAsia="zh-CN"/>
        </w:rPr>
      </w:pPr>
    </w:p>
    <w:p>
      <w:pPr>
        <w:pStyle w:val="5"/>
        <w:ind w:left="0"/>
        <w:rPr>
          <w:rFonts w:ascii="Times New Roman"/>
          <w:sz w:val="20"/>
          <w:lang w:eastAsia="zh-CN"/>
        </w:rPr>
      </w:pPr>
    </w:p>
    <w:p>
      <w:pPr>
        <w:pStyle w:val="5"/>
        <w:ind w:left="0"/>
        <w:rPr>
          <w:rFonts w:ascii="Times New Roman"/>
          <w:sz w:val="20"/>
          <w:lang w:eastAsia="zh-CN"/>
        </w:rPr>
      </w:pPr>
    </w:p>
    <w:p>
      <w:pPr>
        <w:pStyle w:val="5"/>
        <w:ind w:left="0"/>
        <w:rPr>
          <w:rFonts w:ascii="Times New Roman"/>
          <w:sz w:val="20"/>
          <w:lang w:eastAsia="zh-CN"/>
        </w:rPr>
      </w:pPr>
    </w:p>
    <w:p>
      <w:pPr>
        <w:pStyle w:val="5"/>
        <w:ind w:left="0"/>
        <w:rPr>
          <w:rFonts w:ascii="Times New Roman"/>
          <w:sz w:val="20"/>
          <w:lang w:eastAsia="zh-CN"/>
        </w:rPr>
      </w:pPr>
    </w:p>
    <w:p>
      <w:pPr>
        <w:pStyle w:val="5"/>
        <w:spacing w:before="2"/>
        <w:ind w:left="0"/>
        <w:rPr>
          <w:rFonts w:ascii="Times New Roman"/>
          <w:sz w:val="10"/>
          <w:lang w:eastAsia="zh-CN"/>
        </w:rPr>
      </w:pPr>
    </w:p>
    <w:tbl>
      <w:tblPr>
        <w:tblStyle w:val="9"/>
        <w:tblW w:w="9296" w:type="dxa"/>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7"/>
        <w:gridCol w:w="960"/>
        <w:gridCol w:w="3834"/>
        <w:gridCol w:w="1756"/>
        <w:gridCol w:w="18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0" w:hRule="atLeast"/>
        </w:trPr>
        <w:tc>
          <w:tcPr>
            <w:tcW w:w="9296" w:type="dxa"/>
            <w:gridSpan w:val="5"/>
          </w:tcPr>
          <w:p>
            <w:pPr>
              <w:pStyle w:val="13"/>
              <w:spacing w:before="187"/>
              <w:ind w:left="3180" w:right="3154"/>
              <w:jc w:val="center"/>
              <w:rPr>
                <w:b/>
                <w:sz w:val="24"/>
                <w:lang w:eastAsia="zh-CN"/>
              </w:rPr>
            </w:pPr>
            <w:r>
              <w:rPr>
                <w:b/>
                <w:sz w:val="24"/>
                <w:lang w:eastAsia="zh-CN"/>
              </w:rPr>
              <w:t>三、煤电联动部分（选填）</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0" w:hRule="atLeast"/>
        </w:trPr>
        <w:tc>
          <w:tcPr>
            <w:tcW w:w="847" w:type="dxa"/>
          </w:tcPr>
          <w:p>
            <w:pPr>
              <w:pStyle w:val="13"/>
              <w:spacing w:before="7"/>
              <w:rPr>
                <w:rFonts w:ascii="Times New Roman"/>
                <w:sz w:val="19"/>
                <w:lang w:eastAsia="zh-CN"/>
              </w:rPr>
            </w:pPr>
          </w:p>
          <w:p>
            <w:pPr>
              <w:pStyle w:val="13"/>
              <w:ind w:left="222" w:right="195"/>
              <w:jc w:val="center"/>
              <w:rPr>
                <w:sz w:val="18"/>
              </w:rPr>
            </w:pPr>
            <w:r>
              <w:rPr>
                <w:sz w:val="18"/>
              </w:rPr>
              <w:t>序号</w:t>
            </w:r>
          </w:p>
        </w:tc>
        <w:tc>
          <w:tcPr>
            <w:tcW w:w="960" w:type="dxa"/>
          </w:tcPr>
          <w:p>
            <w:pPr>
              <w:pStyle w:val="13"/>
              <w:spacing w:before="7"/>
              <w:rPr>
                <w:rFonts w:ascii="Times New Roman"/>
                <w:sz w:val="19"/>
              </w:rPr>
            </w:pPr>
          </w:p>
          <w:p>
            <w:pPr>
              <w:pStyle w:val="13"/>
              <w:ind w:left="100" w:right="70"/>
              <w:jc w:val="center"/>
              <w:rPr>
                <w:sz w:val="18"/>
              </w:rPr>
            </w:pPr>
            <w:r>
              <w:rPr>
                <w:sz w:val="18"/>
              </w:rPr>
              <w:t>计费参数</w:t>
            </w:r>
          </w:p>
        </w:tc>
        <w:tc>
          <w:tcPr>
            <w:tcW w:w="3834" w:type="dxa"/>
          </w:tcPr>
          <w:p>
            <w:pPr>
              <w:pStyle w:val="13"/>
              <w:spacing w:before="7"/>
              <w:rPr>
                <w:rFonts w:ascii="Times New Roman"/>
                <w:sz w:val="19"/>
              </w:rPr>
            </w:pPr>
          </w:p>
          <w:p>
            <w:pPr>
              <w:pStyle w:val="13"/>
              <w:ind w:left="95" w:right="69"/>
              <w:jc w:val="center"/>
              <w:rPr>
                <w:sz w:val="18"/>
              </w:rPr>
            </w:pPr>
            <w:r>
              <w:rPr>
                <w:sz w:val="18"/>
              </w:rPr>
              <w:t>参数描述</w:t>
            </w:r>
          </w:p>
        </w:tc>
        <w:tc>
          <w:tcPr>
            <w:tcW w:w="1756" w:type="dxa"/>
          </w:tcPr>
          <w:p>
            <w:pPr>
              <w:pStyle w:val="13"/>
              <w:spacing w:before="7"/>
              <w:rPr>
                <w:rFonts w:ascii="Times New Roman"/>
                <w:sz w:val="19"/>
              </w:rPr>
            </w:pPr>
          </w:p>
          <w:p>
            <w:pPr>
              <w:pStyle w:val="13"/>
              <w:ind w:left="452" w:right="424"/>
              <w:jc w:val="center"/>
              <w:rPr>
                <w:sz w:val="18"/>
              </w:rPr>
            </w:pPr>
            <w:r>
              <w:rPr>
                <w:sz w:val="18"/>
              </w:rPr>
              <w:t>计量单位</w:t>
            </w:r>
          </w:p>
        </w:tc>
        <w:tc>
          <w:tcPr>
            <w:tcW w:w="1899" w:type="dxa"/>
          </w:tcPr>
          <w:p>
            <w:pPr>
              <w:pStyle w:val="13"/>
              <w:spacing w:before="7"/>
              <w:rPr>
                <w:rFonts w:ascii="Times New Roman"/>
                <w:sz w:val="19"/>
              </w:rPr>
            </w:pPr>
          </w:p>
          <w:p>
            <w:pPr>
              <w:pStyle w:val="13"/>
              <w:ind w:left="119" w:right="90"/>
              <w:jc w:val="center"/>
              <w:rPr>
                <w:sz w:val="18"/>
              </w:rPr>
            </w:pPr>
            <w:r>
              <w:rPr>
                <w:sz w:val="18"/>
              </w:rPr>
              <w:t>参数值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6" w:hRule="atLeast"/>
        </w:trPr>
        <w:tc>
          <w:tcPr>
            <w:tcW w:w="847" w:type="dxa"/>
          </w:tcPr>
          <w:p>
            <w:pPr>
              <w:pStyle w:val="13"/>
              <w:spacing w:before="10"/>
              <w:rPr>
                <w:rFonts w:ascii="Times New Roman"/>
                <w:sz w:val="19"/>
              </w:rPr>
            </w:pPr>
          </w:p>
          <w:p>
            <w:pPr>
              <w:pStyle w:val="13"/>
              <w:ind w:left="26"/>
              <w:jc w:val="center"/>
              <w:rPr>
                <w:sz w:val="18"/>
              </w:rPr>
            </w:pPr>
            <w:r>
              <w:rPr>
                <w:sz w:val="18"/>
              </w:rPr>
              <w:t>1</w:t>
            </w:r>
          </w:p>
        </w:tc>
        <w:tc>
          <w:tcPr>
            <w:tcW w:w="960" w:type="dxa"/>
          </w:tcPr>
          <w:p>
            <w:pPr>
              <w:pStyle w:val="13"/>
              <w:spacing w:before="10"/>
              <w:rPr>
                <w:rFonts w:ascii="Times New Roman"/>
                <w:sz w:val="19"/>
              </w:rPr>
            </w:pPr>
          </w:p>
          <w:p>
            <w:pPr>
              <w:pStyle w:val="13"/>
              <w:ind w:left="100" w:right="70"/>
              <w:jc w:val="center"/>
              <w:rPr>
                <w:sz w:val="18"/>
              </w:rPr>
            </w:pPr>
            <w:r>
              <w:rPr>
                <w:sz w:val="18"/>
              </w:rPr>
              <w:t>结算电量</w:t>
            </w:r>
          </w:p>
        </w:tc>
        <w:tc>
          <w:tcPr>
            <w:tcW w:w="3834" w:type="dxa"/>
          </w:tcPr>
          <w:p>
            <w:pPr>
              <w:pStyle w:val="13"/>
              <w:spacing w:before="10"/>
              <w:rPr>
                <w:rFonts w:ascii="Times New Roman"/>
                <w:sz w:val="19"/>
                <w:lang w:eastAsia="zh-CN"/>
              </w:rPr>
            </w:pPr>
          </w:p>
          <w:p>
            <w:pPr>
              <w:pStyle w:val="13"/>
              <w:ind w:left="95" w:right="69"/>
              <w:jc w:val="center"/>
              <w:rPr>
                <w:sz w:val="18"/>
                <w:lang w:eastAsia="zh-CN"/>
              </w:rPr>
            </w:pPr>
            <w:r>
              <w:rPr>
                <w:sz w:val="18"/>
                <w:lang w:eastAsia="zh-CN"/>
              </w:rPr>
              <w:t>固定价格部分电量占比</w:t>
            </w:r>
          </w:p>
        </w:tc>
        <w:tc>
          <w:tcPr>
            <w:tcW w:w="1756" w:type="dxa"/>
          </w:tcPr>
          <w:p>
            <w:pPr>
              <w:pStyle w:val="13"/>
              <w:spacing w:before="10"/>
              <w:rPr>
                <w:rFonts w:ascii="Times New Roman"/>
                <w:sz w:val="19"/>
                <w:lang w:eastAsia="zh-CN"/>
              </w:rPr>
            </w:pPr>
          </w:p>
          <w:p>
            <w:pPr>
              <w:pStyle w:val="13"/>
              <w:ind w:left="27"/>
              <w:jc w:val="center"/>
              <w:rPr>
                <w:sz w:val="18"/>
              </w:rPr>
            </w:pPr>
            <w:r>
              <w:rPr>
                <w:rFonts w:hint="eastAsia"/>
                <w:sz w:val="18"/>
                <w:lang w:eastAsia="zh-CN"/>
              </w:rPr>
              <w:t>/</w:t>
            </w:r>
            <w:r>
              <w:rPr>
                <w:sz w:val="18"/>
              </w:rPr>
              <w:t>%</w:t>
            </w:r>
          </w:p>
        </w:tc>
        <w:tc>
          <w:tcPr>
            <w:tcW w:w="1899" w:type="dxa"/>
          </w:tcPr>
          <w:p>
            <w:pPr>
              <w:pStyle w:val="13"/>
              <w:spacing w:before="58"/>
              <w:ind w:left="119" w:right="90"/>
              <w:jc w:val="center"/>
              <w:rPr>
                <w:sz w:val="18"/>
                <w:lang w:eastAsia="zh-CN"/>
              </w:rPr>
            </w:pPr>
            <w:r>
              <w:rPr>
                <w:sz w:val="18"/>
                <w:lang w:eastAsia="zh-CN"/>
              </w:rPr>
              <w:t>系统自动读取固定价</w:t>
            </w:r>
          </w:p>
          <w:p>
            <w:pPr>
              <w:pStyle w:val="13"/>
              <w:spacing w:before="112"/>
              <w:ind w:left="119" w:right="90"/>
              <w:jc w:val="center"/>
              <w:rPr>
                <w:sz w:val="18"/>
                <w:lang w:eastAsia="zh-CN"/>
              </w:rPr>
            </w:pPr>
            <w:r>
              <w:rPr>
                <w:sz w:val="18"/>
                <w:lang w:eastAsia="zh-CN"/>
              </w:rPr>
              <w:t>格电量占比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7" w:hRule="atLeast"/>
        </w:trPr>
        <w:tc>
          <w:tcPr>
            <w:tcW w:w="847" w:type="dxa"/>
          </w:tcPr>
          <w:p>
            <w:pPr>
              <w:pStyle w:val="13"/>
              <w:spacing w:before="9"/>
              <w:rPr>
                <w:rFonts w:ascii="Times New Roman"/>
                <w:sz w:val="19"/>
                <w:lang w:eastAsia="zh-CN"/>
              </w:rPr>
            </w:pPr>
          </w:p>
          <w:p>
            <w:pPr>
              <w:pStyle w:val="13"/>
              <w:ind w:left="26"/>
              <w:jc w:val="center"/>
              <w:rPr>
                <w:sz w:val="18"/>
              </w:rPr>
            </w:pPr>
            <w:r>
              <w:rPr>
                <w:sz w:val="18"/>
              </w:rPr>
              <w:t>2</w:t>
            </w:r>
          </w:p>
        </w:tc>
        <w:tc>
          <w:tcPr>
            <w:tcW w:w="960" w:type="dxa"/>
          </w:tcPr>
          <w:p>
            <w:pPr>
              <w:pStyle w:val="13"/>
              <w:spacing w:before="9"/>
              <w:rPr>
                <w:rFonts w:ascii="Times New Roman"/>
                <w:sz w:val="19"/>
              </w:rPr>
            </w:pPr>
          </w:p>
          <w:p>
            <w:pPr>
              <w:pStyle w:val="13"/>
              <w:ind w:left="98" w:right="70"/>
              <w:jc w:val="center"/>
              <w:rPr>
                <w:sz w:val="18"/>
              </w:rPr>
            </w:pPr>
            <w:r>
              <w:rPr>
                <w:sz w:val="18"/>
              </w:rPr>
              <w:t>基准值</w:t>
            </w:r>
          </w:p>
        </w:tc>
        <w:tc>
          <w:tcPr>
            <w:tcW w:w="3834" w:type="dxa"/>
          </w:tcPr>
          <w:p>
            <w:pPr>
              <w:pStyle w:val="13"/>
              <w:spacing w:before="57"/>
              <w:ind w:left="95" w:right="69"/>
              <w:jc w:val="center"/>
              <w:rPr>
                <w:sz w:val="18"/>
                <w:lang w:eastAsia="zh-CN"/>
              </w:rPr>
            </w:pPr>
            <w:r>
              <w:rPr>
                <w:sz w:val="18"/>
                <w:lang w:eastAsia="zh-CN"/>
              </w:rPr>
              <w:t>当指数超过该参考基准值时，结算电价进行浮</w:t>
            </w:r>
          </w:p>
          <w:p>
            <w:pPr>
              <w:pStyle w:val="13"/>
              <w:spacing w:before="113"/>
              <w:ind w:left="29"/>
              <w:jc w:val="center"/>
              <w:rPr>
                <w:sz w:val="18"/>
              </w:rPr>
            </w:pPr>
            <w:r>
              <w:rPr>
                <w:sz w:val="18"/>
              </w:rPr>
              <w:t>动</w:t>
            </w:r>
          </w:p>
        </w:tc>
        <w:tc>
          <w:tcPr>
            <w:tcW w:w="1756" w:type="dxa"/>
          </w:tcPr>
          <w:p>
            <w:pPr>
              <w:pStyle w:val="13"/>
              <w:spacing w:before="9"/>
              <w:rPr>
                <w:rFonts w:ascii="Times New Roman"/>
                <w:sz w:val="19"/>
              </w:rPr>
            </w:pPr>
          </w:p>
          <w:p>
            <w:pPr>
              <w:pStyle w:val="13"/>
              <w:ind w:left="452" w:right="424"/>
              <w:jc w:val="center"/>
              <w:rPr>
                <w:sz w:val="18"/>
              </w:rPr>
            </w:pPr>
            <w:r>
              <w:rPr>
                <w:rFonts w:hint="eastAsia"/>
                <w:sz w:val="18"/>
                <w:lang w:eastAsia="zh-CN"/>
              </w:rPr>
              <w:t>/</w:t>
            </w:r>
            <w:r>
              <w:rPr>
                <w:sz w:val="18"/>
              </w:rPr>
              <w:t>元/吨</w:t>
            </w:r>
          </w:p>
        </w:tc>
        <w:tc>
          <w:tcPr>
            <w:tcW w:w="1899" w:type="dxa"/>
          </w:tcPr>
          <w:p>
            <w:pPr>
              <w:pStyle w:val="13"/>
              <w:spacing w:before="57"/>
              <w:ind w:left="119" w:right="90"/>
              <w:jc w:val="center"/>
              <w:rPr>
                <w:sz w:val="18"/>
                <w:lang w:eastAsia="zh-CN"/>
              </w:rPr>
            </w:pPr>
            <w:r>
              <w:rPr>
                <w:sz w:val="18"/>
                <w:lang w:eastAsia="zh-CN"/>
              </w:rPr>
              <w:t>交易中心发布签约月</w:t>
            </w:r>
          </w:p>
          <w:p>
            <w:pPr>
              <w:pStyle w:val="13"/>
              <w:spacing w:before="113"/>
              <w:ind w:left="116" w:right="90"/>
              <w:jc w:val="center"/>
              <w:rPr>
                <w:sz w:val="18"/>
                <w:lang w:eastAsia="zh-CN"/>
              </w:rPr>
            </w:pPr>
            <w:r>
              <w:rPr>
                <w:sz w:val="18"/>
                <w:lang w:eastAsia="zh-CN"/>
              </w:rPr>
              <w:t>份煤炭参考价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2" w:hRule="atLeast"/>
        </w:trPr>
        <w:tc>
          <w:tcPr>
            <w:tcW w:w="847" w:type="dxa"/>
          </w:tcPr>
          <w:p>
            <w:pPr>
              <w:pStyle w:val="13"/>
              <w:spacing w:before="9"/>
              <w:rPr>
                <w:rFonts w:ascii="Times New Roman"/>
                <w:sz w:val="19"/>
                <w:lang w:eastAsia="zh-CN"/>
              </w:rPr>
            </w:pPr>
          </w:p>
          <w:p>
            <w:pPr>
              <w:pStyle w:val="13"/>
              <w:spacing w:before="1"/>
              <w:ind w:left="26"/>
              <w:jc w:val="center"/>
              <w:rPr>
                <w:sz w:val="18"/>
              </w:rPr>
            </w:pPr>
            <w:r>
              <w:rPr>
                <w:sz w:val="18"/>
              </w:rPr>
              <w:t>3</w:t>
            </w:r>
          </w:p>
        </w:tc>
        <w:tc>
          <w:tcPr>
            <w:tcW w:w="960" w:type="dxa"/>
          </w:tcPr>
          <w:p>
            <w:pPr>
              <w:pStyle w:val="13"/>
              <w:spacing w:before="9"/>
              <w:rPr>
                <w:rFonts w:ascii="Times New Roman"/>
                <w:sz w:val="19"/>
              </w:rPr>
            </w:pPr>
          </w:p>
          <w:p>
            <w:pPr>
              <w:pStyle w:val="13"/>
              <w:spacing w:before="1"/>
              <w:ind w:left="100" w:right="70"/>
              <w:jc w:val="center"/>
              <w:rPr>
                <w:sz w:val="18"/>
              </w:rPr>
            </w:pPr>
            <w:r>
              <w:rPr>
                <w:sz w:val="18"/>
              </w:rPr>
              <w:t>浮动单价</w:t>
            </w:r>
          </w:p>
        </w:tc>
        <w:tc>
          <w:tcPr>
            <w:tcW w:w="3834" w:type="dxa"/>
          </w:tcPr>
          <w:p>
            <w:pPr>
              <w:pStyle w:val="13"/>
              <w:spacing w:before="55"/>
              <w:ind w:left="95" w:right="66"/>
              <w:jc w:val="center"/>
              <w:rPr>
                <w:sz w:val="18"/>
                <w:lang w:eastAsia="zh-CN"/>
              </w:rPr>
            </w:pPr>
            <w:r>
              <w:rPr>
                <w:spacing w:val="-5"/>
                <w:sz w:val="18"/>
                <w:lang w:eastAsia="zh-CN"/>
              </w:rPr>
              <w:t xml:space="preserve">当指数超过基准值每 </w:t>
            </w:r>
            <w:r>
              <w:rPr>
                <w:sz w:val="18"/>
                <w:lang w:eastAsia="zh-CN"/>
              </w:rPr>
              <w:t>100</w:t>
            </w:r>
            <w:r>
              <w:rPr>
                <w:spacing w:val="-23"/>
                <w:sz w:val="18"/>
                <w:lang w:eastAsia="zh-CN"/>
              </w:rPr>
              <w:t xml:space="preserve"> 元</w:t>
            </w:r>
            <w:r>
              <w:rPr>
                <w:sz w:val="18"/>
                <w:lang w:eastAsia="zh-CN"/>
              </w:rPr>
              <w:t>/</w:t>
            </w:r>
            <w:r>
              <w:rPr>
                <w:spacing w:val="-11"/>
                <w:sz w:val="18"/>
                <w:lang w:eastAsia="zh-CN"/>
              </w:rPr>
              <w:t>吨时，结算电价上</w:t>
            </w:r>
          </w:p>
          <w:p>
            <w:pPr>
              <w:pStyle w:val="13"/>
              <w:spacing w:before="113"/>
              <w:ind w:left="95" w:right="69"/>
              <w:jc w:val="center"/>
              <w:rPr>
                <w:sz w:val="18"/>
              </w:rPr>
            </w:pPr>
            <w:r>
              <w:rPr>
                <w:sz w:val="18"/>
              </w:rPr>
              <w:t>下浮动的幅度</w:t>
            </w:r>
          </w:p>
        </w:tc>
        <w:tc>
          <w:tcPr>
            <w:tcW w:w="1756" w:type="dxa"/>
          </w:tcPr>
          <w:p>
            <w:pPr>
              <w:pStyle w:val="13"/>
              <w:spacing w:before="9"/>
              <w:rPr>
                <w:rFonts w:ascii="Times New Roman"/>
                <w:sz w:val="19"/>
              </w:rPr>
            </w:pPr>
          </w:p>
          <w:p>
            <w:pPr>
              <w:pStyle w:val="13"/>
              <w:spacing w:before="1"/>
              <w:ind w:left="452" w:right="424"/>
              <w:jc w:val="center"/>
              <w:rPr>
                <w:sz w:val="18"/>
              </w:rPr>
            </w:pPr>
            <w:r>
              <w:rPr>
                <w:rFonts w:hint="eastAsia"/>
                <w:sz w:val="18"/>
                <w:lang w:eastAsia="zh-CN"/>
              </w:rPr>
              <w:t>/</w:t>
            </w:r>
            <w:r>
              <w:rPr>
                <w:sz w:val="18"/>
              </w:rPr>
              <w:t>厘/千瓦时</w:t>
            </w:r>
          </w:p>
        </w:tc>
        <w:tc>
          <w:tcPr>
            <w:tcW w:w="1899" w:type="dxa"/>
            <w:shd w:val="clear" w:color="auto" w:fill="BCD5ED"/>
          </w:tcPr>
          <w:p>
            <w:pPr>
              <w:pStyle w:val="13"/>
              <w:spacing w:before="55"/>
              <w:ind w:left="119" w:right="90"/>
              <w:jc w:val="center"/>
              <w:rPr>
                <w:sz w:val="18"/>
                <w:lang w:eastAsia="zh-CN"/>
              </w:rPr>
            </w:pPr>
            <w:r>
              <w:rPr>
                <w:sz w:val="18"/>
                <w:lang w:eastAsia="zh-CN"/>
              </w:rPr>
              <w:t>双方约定填报，需在</w:t>
            </w:r>
          </w:p>
          <w:p>
            <w:pPr>
              <w:pStyle w:val="13"/>
              <w:spacing w:before="113"/>
              <w:ind w:left="119" w:right="90"/>
              <w:jc w:val="center"/>
              <w:rPr>
                <w:sz w:val="18"/>
                <w:lang w:eastAsia="zh-CN"/>
              </w:rPr>
            </w:pPr>
            <w:r>
              <w:rPr>
                <w:sz w:val="18"/>
                <w:lang w:eastAsia="zh-CN"/>
              </w:rPr>
              <w:t>规则规定范围内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507" w:hRule="atLeast"/>
        </w:trPr>
        <w:tc>
          <w:tcPr>
            <w:tcW w:w="9296" w:type="dxa"/>
            <w:gridSpan w:val="5"/>
          </w:tcPr>
          <w:p>
            <w:pPr>
              <w:pStyle w:val="13"/>
              <w:spacing w:before="70"/>
              <w:ind w:left="108"/>
              <w:rPr>
                <w:sz w:val="16"/>
                <w:lang w:eastAsia="zh-CN"/>
              </w:rPr>
            </w:pPr>
            <w:r>
              <w:rPr>
                <w:sz w:val="16"/>
                <w:lang w:eastAsia="zh-CN"/>
              </w:rPr>
              <w:t>备注：</w:t>
            </w:r>
          </w:p>
          <w:p>
            <w:pPr>
              <w:pStyle w:val="13"/>
              <w:spacing w:before="138"/>
              <w:ind w:left="427"/>
              <w:rPr>
                <w:sz w:val="16"/>
                <w:lang w:eastAsia="zh-CN"/>
              </w:rPr>
            </w:pPr>
            <w:r>
              <w:rPr>
                <w:sz w:val="16"/>
                <w:lang w:eastAsia="zh-CN"/>
              </w:rPr>
              <w:t>1.煤电联动为可选项，不参与峰谷电价。如确认选择煤电联动条款后，甲乙双方电能量交易价格随煤电价格上下浮动费。</w:t>
            </w:r>
          </w:p>
          <w:p>
            <w:pPr>
              <w:pStyle w:val="13"/>
              <w:spacing w:before="9"/>
              <w:rPr>
                <w:rFonts w:ascii="Times New Roman"/>
                <w:sz w:val="12"/>
                <w:lang w:eastAsia="zh-CN"/>
              </w:rPr>
            </w:pPr>
          </w:p>
          <w:p>
            <w:pPr>
              <w:pStyle w:val="13"/>
              <w:spacing w:before="1" w:line="350" w:lineRule="auto"/>
              <w:ind w:left="108" w:right="76" w:firstLine="319"/>
              <w:rPr>
                <w:sz w:val="16"/>
                <w:lang w:eastAsia="zh-CN"/>
              </w:rPr>
            </w:pPr>
            <w:r>
              <w:rPr>
                <w:sz w:val="16"/>
                <w:lang w:eastAsia="zh-CN"/>
              </w:rPr>
              <w:t>2</w:t>
            </w:r>
            <w:r>
              <w:rPr>
                <w:spacing w:val="-1"/>
                <w:sz w:val="16"/>
                <w:lang w:eastAsia="zh-CN"/>
              </w:rPr>
              <w:t>.煤电联动电费=合同约定固定价格部分电量×煤电联动价格。煤电联动价格=</w:t>
            </w:r>
            <w:r>
              <w:rPr>
                <w:sz w:val="16"/>
                <w:lang w:eastAsia="zh-CN"/>
              </w:rPr>
              <w:t>（</w:t>
            </w:r>
            <w:r>
              <w:rPr>
                <w:spacing w:val="-10"/>
                <w:sz w:val="16"/>
                <w:lang w:eastAsia="zh-CN"/>
              </w:rPr>
              <w:t xml:space="preserve">结算月 </w:t>
            </w:r>
            <w:r>
              <w:rPr>
                <w:sz w:val="16"/>
                <w:lang w:eastAsia="zh-CN"/>
              </w:rPr>
              <w:t>CECI</w:t>
            </w:r>
            <w:r>
              <w:rPr>
                <w:spacing w:val="-12"/>
                <w:sz w:val="16"/>
                <w:lang w:eastAsia="zh-CN"/>
              </w:rPr>
              <w:t xml:space="preserve"> 价格-签约月 </w:t>
            </w:r>
            <w:r>
              <w:rPr>
                <w:sz w:val="16"/>
                <w:lang w:eastAsia="zh-CN"/>
              </w:rPr>
              <w:t>CECI</w:t>
            </w:r>
            <w:r>
              <w:rPr>
                <w:spacing w:val="-14"/>
                <w:sz w:val="16"/>
                <w:lang w:eastAsia="zh-CN"/>
              </w:rPr>
              <w:t xml:space="preserve"> 价格</w:t>
            </w:r>
            <w:r>
              <w:rPr>
                <w:sz w:val="16"/>
                <w:lang w:eastAsia="zh-CN"/>
              </w:rPr>
              <w:t xml:space="preserve">）/100× </w:t>
            </w:r>
            <w:r>
              <w:rPr>
                <w:spacing w:val="-3"/>
                <w:sz w:val="16"/>
                <w:lang w:eastAsia="zh-CN"/>
              </w:rPr>
              <w:t>浮动单价，其中</w:t>
            </w:r>
            <w:r>
              <w:rPr>
                <w:sz w:val="16"/>
                <w:lang w:eastAsia="zh-CN"/>
              </w:rPr>
              <w:t>（</w:t>
            </w:r>
            <w:r>
              <w:rPr>
                <w:spacing w:val="-12"/>
                <w:sz w:val="16"/>
                <w:lang w:eastAsia="zh-CN"/>
              </w:rPr>
              <w:t xml:space="preserve">结算月 </w:t>
            </w:r>
            <w:r>
              <w:rPr>
                <w:sz w:val="16"/>
                <w:lang w:eastAsia="zh-CN"/>
              </w:rPr>
              <w:t>CECI</w:t>
            </w:r>
            <w:r>
              <w:rPr>
                <w:spacing w:val="-12"/>
                <w:sz w:val="16"/>
                <w:lang w:eastAsia="zh-CN"/>
              </w:rPr>
              <w:t xml:space="preserve"> 价格-签约月 </w:t>
            </w:r>
            <w:r>
              <w:rPr>
                <w:sz w:val="16"/>
                <w:lang w:eastAsia="zh-CN"/>
              </w:rPr>
              <w:t>CECI</w:t>
            </w:r>
            <w:r>
              <w:rPr>
                <w:spacing w:val="-15"/>
                <w:sz w:val="16"/>
                <w:lang w:eastAsia="zh-CN"/>
              </w:rPr>
              <w:t xml:space="preserve"> 价格</w:t>
            </w:r>
            <w:r>
              <w:rPr>
                <w:sz w:val="16"/>
                <w:lang w:eastAsia="zh-CN"/>
              </w:rPr>
              <w:t>）/100</w:t>
            </w:r>
            <w:r>
              <w:rPr>
                <w:spacing w:val="-10"/>
                <w:sz w:val="16"/>
                <w:lang w:eastAsia="zh-CN"/>
              </w:rPr>
              <w:t xml:space="preserve"> 取整数。</w:t>
            </w:r>
          </w:p>
          <w:p>
            <w:pPr>
              <w:pStyle w:val="13"/>
              <w:spacing w:before="1" w:line="350" w:lineRule="auto"/>
              <w:ind w:left="108" w:right="76" w:firstLine="319"/>
              <w:rPr>
                <w:sz w:val="16"/>
                <w:lang w:eastAsia="zh-CN"/>
              </w:rPr>
            </w:pPr>
            <w:r>
              <w:rPr>
                <w:sz w:val="16"/>
                <w:lang w:eastAsia="zh-CN"/>
              </w:rPr>
              <w:t>3.CECI</w:t>
            </w:r>
            <w:r>
              <w:rPr>
                <w:spacing w:val="-9"/>
                <w:sz w:val="16"/>
                <w:lang w:eastAsia="zh-CN"/>
              </w:rPr>
              <w:t xml:space="preserve"> 价格指数是由中国电力企业联合会与国内主要发电企业联合打造的我国发电侧电煤价格指数体系，中电联及授权或合作</w:t>
            </w:r>
            <w:r>
              <w:rPr>
                <w:spacing w:val="-10"/>
                <w:sz w:val="16"/>
                <w:lang w:eastAsia="zh-CN"/>
              </w:rPr>
              <w:t xml:space="preserve">机构每周五 </w:t>
            </w:r>
            <w:r>
              <w:rPr>
                <w:sz w:val="16"/>
                <w:lang w:eastAsia="zh-CN"/>
              </w:rPr>
              <w:t>15</w:t>
            </w:r>
            <w:r>
              <w:rPr>
                <w:spacing w:val="-22"/>
                <w:sz w:val="16"/>
                <w:lang w:eastAsia="zh-CN"/>
              </w:rPr>
              <w:t xml:space="preserve"> 时</w:t>
            </w:r>
            <w:r>
              <w:rPr>
                <w:spacing w:val="-3"/>
                <w:sz w:val="16"/>
                <w:lang w:eastAsia="zh-CN"/>
              </w:rPr>
              <w:t>（</w:t>
            </w:r>
            <w:r>
              <w:rPr>
                <w:spacing w:val="-1"/>
                <w:sz w:val="16"/>
                <w:lang w:eastAsia="zh-CN"/>
              </w:rPr>
              <w:t>节假日暂停</w:t>
            </w:r>
            <w:r>
              <w:rPr>
                <w:spacing w:val="-3"/>
                <w:sz w:val="16"/>
                <w:lang w:eastAsia="zh-CN"/>
              </w:rPr>
              <w:t>）通过中电联官网和微信公众号发布。</w:t>
            </w:r>
          </w:p>
          <w:p>
            <w:pPr>
              <w:pStyle w:val="13"/>
              <w:spacing w:before="1"/>
              <w:ind w:left="427"/>
              <w:rPr>
                <w:sz w:val="16"/>
                <w:lang w:eastAsia="zh-CN"/>
              </w:rPr>
            </w:pPr>
            <w:r>
              <w:rPr>
                <w:sz w:val="16"/>
                <w:lang w:eastAsia="zh-CN"/>
              </w:rPr>
              <w:t>4</w:t>
            </w:r>
            <w:r>
              <w:rPr>
                <w:spacing w:val="-6"/>
                <w:sz w:val="16"/>
                <w:lang w:eastAsia="zh-CN"/>
              </w:rPr>
              <w:t xml:space="preserve">.本合同约定的煤电联动价格叠加固定价格部分平段价格后，介于 </w:t>
            </w:r>
            <w:r>
              <w:rPr>
                <w:spacing w:val="-3"/>
                <w:sz w:val="16"/>
                <w:lang w:eastAsia="zh-CN"/>
              </w:rPr>
              <w:t>372（</w:t>
            </w:r>
            <w:r>
              <w:rPr>
                <w:spacing w:val="-2"/>
                <w:sz w:val="16"/>
                <w:lang w:eastAsia="zh-CN"/>
              </w:rPr>
              <w:t>下限值</w:t>
            </w:r>
            <w:r>
              <w:rPr>
                <w:spacing w:val="-8"/>
                <w:sz w:val="16"/>
                <w:lang w:eastAsia="zh-CN"/>
              </w:rPr>
              <w:t>）</w:t>
            </w:r>
            <w:r>
              <w:rPr>
                <w:spacing w:val="-19"/>
                <w:sz w:val="16"/>
                <w:lang w:eastAsia="zh-CN"/>
              </w:rPr>
              <w:t xml:space="preserve">至 </w:t>
            </w:r>
            <w:r>
              <w:rPr>
                <w:spacing w:val="-3"/>
                <w:sz w:val="16"/>
                <w:lang w:eastAsia="zh-CN"/>
              </w:rPr>
              <w:t>554（</w:t>
            </w:r>
            <w:r>
              <w:rPr>
                <w:spacing w:val="-2"/>
                <w:sz w:val="16"/>
                <w:lang w:eastAsia="zh-CN"/>
              </w:rPr>
              <w:t>上限值</w:t>
            </w:r>
            <w:r>
              <w:rPr>
                <w:spacing w:val="-8"/>
                <w:sz w:val="16"/>
                <w:lang w:eastAsia="zh-CN"/>
              </w:rPr>
              <w:t>）</w:t>
            </w:r>
            <w:r>
              <w:rPr>
                <w:sz w:val="16"/>
                <w:lang w:eastAsia="zh-CN"/>
              </w:rPr>
              <w:t>厘/</w:t>
            </w:r>
            <w:r>
              <w:rPr>
                <w:spacing w:val="-4"/>
                <w:sz w:val="16"/>
                <w:lang w:eastAsia="zh-CN"/>
              </w:rPr>
              <w:t>千瓦时之间。如叠加后</w:t>
            </w:r>
          </w:p>
          <w:p>
            <w:pPr>
              <w:pStyle w:val="13"/>
              <w:spacing w:before="95"/>
              <w:ind w:left="108"/>
              <w:rPr>
                <w:sz w:val="16"/>
                <w:lang w:eastAsia="zh-CN"/>
              </w:rPr>
            </w:pPr>
            <w:r>
              <w:rPr>
                <w:sz w:val="16"/>
                <w:lang w:eastAsia="zh-CN"/>
              </w:rPr>
              <w:t>超出上述范围时，煤电联动价格取限值与固定价格部分平段价格之差。</w:t>
            </w:r>
          </w:p>
        </w:tc>
      </w:tr>
    </w:tbl>
    <w:p>
      <w:pPr>
        <w:rPr>
          <w:sz w:val="16"/>
          <w:lang w:eastAsia="zh-CN"/>
        </w:rPr>
        <w:sectPr>
          <w:pgSz w:w="11910" w:h="16840"/>
          <w:pgMar w:top="1580" w:right="1160" w:bottom="1100" w:left="1180" w:header="0" w:footer="901" w:gutter="0"/>
          <w:cols w:space="720" w:num="1"/>
        </w:sectPr>
      </w:pPr>
    </w:p>
    <w:p>
      <w:pPr>
        <w:pStyle w:val="5"/>
        <w:ind w:left="0"/>
        <w:rPr>
          <w:rFonts w:ascii="Times New Roman"/>
          <w:sz w:val="20"/>
          <w:lang w:eastAsia="zh-CN"/>
        </w:rPr>
      </w:pPr>
    </w:p>
    <w:p>
      <w:pPr>
        <w:pStyle w:val="5"/>
        <w:spacing w:before="8"/>
        <w:ind w:left="0"/>
        <w:rPr>
          <w:rFonts w:ascii="Times New Roman"/>
          <w:sz w:val="10"/>
          <w:lang w:eastAsia="zh-CN"/>
        </w:rPr>
      </w:pPr>
    </w:p>
    <w:tbl>
      <w:tblPr>
        <w:tblStyle w:val="9"/>
        <w:tblW w:w="9296" w:type="dxa"/>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10"/>
        <w:gridCol w:w="46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50" w:hRule="atLeast"/>
        </w:trPr>
        <w:tc>
          <w:tcPr>
            <w:tcW w:w="9296" w:type="dxa"/>
            <w:gridSpan w:val="2"/>
          </w:tcPr>
          <w:p>
            <w:pPr>
              <w:pStyle w:val="13"/>
              <w:spacing w:before="171"/>
              <w:ind w:left="3180" w:right="3154"/>
              <w:jc w:val="center"/>
              <w:rPr>
                <w:b/>
                <w:sz w:val="24"/>
                <w:lang w:eastAsia="zh-CN"/>
              </w:rPr>
            </w:pPr>
            <w:r>
              <w:rPr>
                <w:b/>
                <w:sz w:val="24"/>
                <w:lang w:eastAsia="zh-CN"/>
              </w:rPr>
              <w:t>四、上浮电费模式（选填）</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50" w:hRule="atLeast"/>
        </w:trPr>
        <w:tc>
          <w:tcPr>
            <w:tcW w:w="4610" w:type="dxa"/>
          </w:tcPr>
          <w:p>
            <w:pPr>
              <w:pStyle w:val="13"/>
              <w:spacing w:before="4"/>
              <w:rPr>
                <w:rFonts w:ascii="Times New Roman"/>
                <w:sz w:val="18"/>
                <w:lang w:eastAsia="zh-CN"/>
              </w:rPr>
            </w:pPr>
          </w:p>
          <w:p>
            <w:pPr>
              <w:pStyle w:val="13"/>
              <w:ind w:left="933" w:right="905"/>
              <w:jc w:val="center"/>
              <w:rPr>
                <w:sz w:val="18"/>
              </w:rPr>
            </w:pPr>
            <w:r>
              <w:rPr>
                <w:sz w:val="18"/>
              </w:rPr>
              <w:t>按实际用电量</w:t>
            </w:r>
          </w:p>
        </w:tc>
        <w:tc>
          <w:tcPr>
            <w:tcW w:w="4686" w:type="dxa"/>
          </w:tcPr>
          <w:p>
            <w:pPr>
              <w:pStyle w:val="13"/>
              <w:spacing w:before="4"/>
              <w:rPr>
                <w:rFonts w:ascii="Times New Roman"/>
                <w:sz w:val="18"/>
              </w:rPr>
            </w:pPr>
          </w:p>
          <w:p>
            <w:pPr>
              <w:pStyle w:val="13"/>
              <w:ind w:left="1802"/>
              <w:rPr>
                <w:sz w:val="18"/>
              </w:rPr>
            </w:pPr>
            <w:r>
              <w:rPr>
                <w:sz w:val="18"/>
              </w:rPr>
              <w:t>上浮电费单价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50" w:hRule="atLeast"/>
        </w:trPr>
        <w:tc>
          <w:tcPr>
            <w:tcW w:w="4610" w:type="dxa"/>
            <w:shd w:val="clear" w:color="auto" w:fill="BCD5ED"/>
          </w:tcPr>
          <w:p>
            <w:pPr>
              <w:pStyle w:val="13"/>
              <w:spacing w:before="3"/>
              <w:rPr>
                <w:rFonts w:ascii="Times New Roman"/>
                <w:sz w:val="18"/>
                <w:lang w:eastAsia="zh-CN"/>
              </w:rPr>
            </w:pPr>
          </w:p>
          <w:p>
            <w:pPr>
              <w:pStyle w:val="13"/>
              <w:ind w:left="935" w:right="905"/>
              <w:jc w:val="center"/>
              <w:rPr>
                <w:sz w:val="18"/>
                <w:lang w:eastAsia="zh-CN"/>
              </w:rPr>
            </w:pPr>
            <w:r>
              <w:rPr>
                <w:sz w:val="18"/>
                <w:lang w:eastAsia="zh-CN"/>
              </w:rPr>
              <w:t>系统自动读取用户实际用电量计算</w:t>
            </w:r>
          </w:p>
        </w:tc>
        <w:tc>
          <w:tcPr>
            <w:tcW w:w="4686" w:type="dxa"/>
            <w:shd w:val="clear" w:color="auto" w:fill="BCD5ED"/>
          </w:tcPr>
          <w:p>
            <w:pPr>
              <w:pStyle w:val="13"/>
              <w:spacing w:before="3"/>
              <w:rPr>
                <w:rFonts w:ascii="Times New Roman"/>
                <w:sz w:val="18"/>
                <w:lang w:eastAsia="zh-CN"/>
              </w:rPr>
            </w:pPr>
          </w:p>
          <w:p>
            <w:pPr>
              <w:pStyle w:val="13"/>
              <w:ind w:left="1824"/>
              <w:rPr>
                <w:sz w:val="18"/>
              </w:rPr>
            </w:pPr>
            <w:r>
              <w:rPr>
                <w:sz w:val="18"/>
              </w:rPr>
              <w:t>厘/千瓦时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372" w:hRule="atLeast"/>
        </w:trPr>
        <w:tc>
          <w:tcPr>
            <w:tcW w:w="9296" w:type="dxa"/>
            <w:gridSpan w:val="2"/>
          </w:tcPr>
          <w:p>
            <w:pPr>
              <w:pStyle w:val="13"/>
              <w:spacing w:before="68"/>
              <w:ind w:left="108"/>
              <w:rPr>
                <w:sz w:val="16"/>
                <w:lang w:eastAsia="zh-CN"/>
              </w:rPr>
            </w:pPr>
            <w:r>
              <w:rPr>
                <w:sz w:val="16"/>
                <w:lang w:eastAsia="zh-CN"/>
              </w:rPr>
              <w:t>备注：</w:t>
            </w:r>
          </w:p>
          <w:p>
            <w:pPr>
              <w:pStyle w:val="13"/>
              <w:spacing w:before="138"/>
              <w:ind w:left="427"/>
              <w:rPr>
                <w:sz w:val="16"/>
                <w:lang w:eastAsia="zh-CN"/>
              </w:rPr>
            </w:pPr>
            <w:r>
              <w:rPr>
                <w:sz w:val="16"/>
                <w:lang w:eastAsia="zh-CN"/>
              </w:rPr>
              <w:t>1.上浮电费模式为可选项，不参与峰谷电价。如确认选择上浮电费模式后，甲方还需向乙方支付电能量上浮电费。</w:t>
            </w:r>
          </w:p>
          <w:p>
            <w:pPr>
              <w:pStyle w:val="13"/>
              <w:spacing w:before="139"/>
              <w:ind w:left="427"/>
              <w:rPr>
                <w:sz w:val="16"/>
                <w:lang w:eastAsia="zh-CN"/>
              </w:rPr>
            </w:pPr>
            <w:r>
              <w:rPr>
                <w:sz w:val="16"/>
                <w:lang w:eastAsia="zh-CN"/>
              </w:rPr>
              <w:t>2.上浮电费=实际用电量×固定单价。</w:t>
            </w:r>
          </w:p>
          <w:p>
            <w:pPr>
              <w:pStyle w:val="13"/>
              <w:spacing w:before="138"/>
              <w:ind w:left="427"/>
              <w:rPr>
                <w:sz w:val="16"/>
                <w:lang w:eastAsia="zh-CN"/>
              </w:rPr>
            </w:pPr>
            <w:r>
              <w:rPr>
                <w:sz w:val="16"/>
                <w:lang w:eastAsia="zh-CN"/>
              </w:rPr>
              <w:t>3.上浮电费名称和单价上限以政府最终发布的年度交易方案和规则为准。</w:t>
            </w:r>
          </w:p>
        </w:tc>
      </w:tr>
    </w:tbl>
    <w:p>
      <w:pPr>
        <w:rPr>
          <w:sz w:val="16"/>
          <w:lang w:eastAsia="zh-CN"/>
        </w:rPr>
        <w:sectPr>
          <w:pgSz w:w="11910" w:h="16840"/>
          <w:pgMar w:top="1580" w:right="1160" w:bottom="1100" w:left="1180" w:header="0" w:footer="901" w:gutter="0"/>
          <w:cols w:space="720" w:num="1"/>
        </w:sectPr>
      </w:pPr>
      <w:r>
        <w:rPr>
          <w:rFonts w:hint="eastAsia"/>
          <w:sz w:val="16"/>
          <w:lang w:eastAsia="zh-CN"/>
        </w:rPr>
        <w:t xml:space="preserve"> </w:t>
      </w:r>
    </w:p>
    <w:p>
      <w:pPr>
        <w:spacing w:before="36"/>
        <w:ind w:left="620"/>
        <w:rPr>
          <w:sz w:val="36"/>
          <w:lang w:eastAsia="zh-CN"/>
        </w:rPr>
      </w:pPr>
      <w:bookmarkStart w:id="24" w:name="附表2：绿电环境溢价结算模式设置表"/>
      <w:bookmarkEnd w:id="24"/>
      <w:r>
        <w:rPr>
          <w:sz w:val="36"/>
          <w:lang w:eastAsia="zh-CN"/>
        </w:rPr>
        <w:t>附表 2：绿电环境溢价结算模式设置表</w:t>
      </w:r>
    </w:p>
    <w:p>
      <w:pPr>
        <w:pStyle w:val="5"/>
        <w:spacing w:before="3"/>
        <w:ind w:left="0"/>
        <w:rPr>
          <w:sz w:val="25"/>
          <w:lang w:eastAsia="zh-CN"/>
        </w:rPr>
      </w:pPr>
    </w:p>
    <w:tbl>
      <w:tblPr>
        <w:tblStyle w:val="9"/>
        <w:tblW w:w="8753" w:type="dxa"/>
        <w:tblInd w:w="60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02"/>
        <w:gridCol w:w="1949"/>
        <w:gridCol w:w="510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8753" w:type="dxa"/>
            <w:gridSpan w:val="3"/>
          </w:tcPr>
          <w:p>
            <w:pPr>
              <w:pStyle w:val="13"/>
              <w:spacing w:before="115"/>
              <w:ind w:left="2690"/>
              <w:rPr>
                <w:b/>
                <w:sz w:val="24"/>
                <w:lang w:eastAsia="zh-CN"/>
              </w:rPr>
            </w:pPr>
            <w:r>
              <w:rPr>
                <w:b/>
                <w:sz w:val="24"/>
                <w:lang w:eastAsia="zh-CN"/>
              </w:rPr>
              <w:t>一、环境溢价合同电费（必填）</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1702" w:type="dxa"/>
            <w:vMerge w:val="restart"/>
          </w:tcPr>
          <w:p>
            <w:pPr>
              <w:pStyle w:val="13"/>
              <w:rPr>
                <w:sz w:val="18"/>
                <w:lang w:eastAsia="zh-CN"/>
              </w:rPr>
            </w:pPr>
          </w:p>
          <w:p>
            <w:pPr>
              <w:pStyle w:val="13"/>
              <w:spacing w:before="2"/>
              <w:rPr>
                <w:sz w:val="16"/>
                <w:lang w:eastAsia="zh-CN"/>
              </w:rPr>
            </w:pPr>
          </w:p>
          <w:p>
            <w:pPr>
              <w:pStyle w:val="13"/>
              <w:ind w:left="309"/>
              <w:rPr>
                <w:sz w:val="18"/>
              </w:rPr>
            </w:pPr>
            <w:r>
              <w:rPr>
                <w:sz w:val="18"/>
              </w:rPr>
              <w:t>固定价格模式</w:t>
            </w:r>
          </w:p>
        </w:tc>
        <w:tc>
          <w:tcPr>
            <w:tcW w:w="1949" w:type="dxa"/>
          </w:tcPr>
          <w:p>
            <w:pPr>
              <w:pStyle w:val="13"/>
              <w:spacing w:before="152"/>
              <w:ind w:left="322" w:right="297"/>
              <w:jc w:val="center"/>
              <w:rPr>
                <w:sz w:val="18"/>
              </w:rPr>
            </w:pPr>
            <w:r>
              <w:rPr>
                <w:sz w:val="18"/>
              </w:rPr>
              <w:t>实际用电量占比</w:t>
            </w:r>
          </w:p>
        </w:tc>
        <w:tc>
          <w:tcPr>
            <w:tcW w:w="5102" w:type="dxa"/>
            <w:shd w:val="clear" w:color="auto" w:fill="BCD5ED"/>
          </w:tcPr>
          <w:p>
            <w:pPr>
              <w:pStyle w:val="13"/>
              <w:spacing w:before="152"/>
              <w:ind w:left="27"/>
              <w:jc w:val="center"/>
              <w:rPr>
                <w:sz w:val="18"/>
              </w:rPr>
            </w:pPr>
            <w:r>
              <w:rPr>
                <w:rFonts w:hint="eastAsia"/>
                <w:sz w:val="18"/>
                <w:lang w:eastAsia="zh-CN"/>
              </w:rPr>
              <w:t>/</w:t>
            </w:r>
            <w:r>
              <w:rPr>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1702" w:type="dxa"/>
            <w:vMerge w:val="continue"/>
            <w:tcBorders>
              <w:top w:val="nil"/>
            </w:tcBorders>
          </w:tcPr>
          <w:p>
            <w:pPr>
              <w:rPr>
                <w:sz w:val="2"/>
                <w:szCs w:val="2"/>
              </w:rPr>
            </w:pPr>
          </w:p>
        </w:tc>
        <w:tc>
          <w:tcPr>
            <w:tcW w:w="1949" w:type="dxa"/>
          </w:tcPr>
          <w:p>
            <w:pPr>
              <w:pStyle w:val="13"/>
              <w:spacing w:before="154"/>
              <w:ind w:left="322" w:right="294"/>
              <w:jc w:val="center"/>
              <w:rPr>
                <w:sz w:val="18"/>
              </w:rPr>
            </w:pPr>
            <w:r>
              <w:rPr>
                <w:sz w:val="18"/>
              </w:rPr>
              <w:t>固定价格</w:t>
            </w:r>
          </w:p>
        </w:tc>
        <w:tc>
          <w:tcPr>
            <w:tcW w:w="5102" w:type="dxa"/>
            <w:shd w:val="clear" w:color="auto" w:fill="BCD5ED"/>
          </w:tcPr>
          <w:p>
            <w:pPr>
              <w:pStyle w:val="13"/>
              <w:spacing w:before="154"/>
              <w:ind w:left="1270" w:right="1242"/>
              <w:jc w:val="center"/>
              <w:rPr>
                <w:sz w:val="18"/>
              </w:rPr>
            </w:pPr>
            <w:r>
              <w:rPr>
                <w:rFonts w:hint="eastAsia"/>
                <w:sz w:val="18"/>
                <w:lang w:eastAsia="zh-CN"/>
              </w:rPr>
              <w:t>/</w:t>
            </w:r>
            <w:r>
              <w:rPr>
                <w:sz w:val="18"/>
              </w:rPr>
              <w:t>厘/千瓦时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1702" w:type="dxa"/>
            <w:vMerge w:val="restart"/>
          </w:tcPr>
          <w:p>
            <w:pPr>
              <w:pStyle w:val="13"/>
              <w:rPr>
                <w:sz w:val="18"/>
              </w:rPr>
            </w:pPr>
          </w:p>
          <w:p>
            <w:pPr>
              <w:pStyle w:val="13"/>
              <w:spacing w:before="1"/>
              <w:rPr>
                <w:sz w:val="16"/>
              </w:rPr>
            </w:pPr>
          </w:p>
          <w:p>
            <w:pPr>
              <w:pStyle w:val="13"/>
              <w:ind w:left="309"/>
              <w:rPr>
                <w:sz w:val="18"/>
              </w:rPr>
            </w:pPr>
            <w:r>
              <w:rPr>
                <w:sz w:val="18"/>
              </w:rPr>
              <w:t>联动价格模式</w:t>
            </w:r>
          </w:p>
        </w:tc>
        <w:tc>
          <w:tcPr>
            <w:tcW w:w="1949" w:type="dxa"/>
          </w:tcPr>
          <w:p>
            <w:pPr>
              <w:pStyle w:val="13"/>
              <w:spacing w:before="154"/>
              <w:ind w:left="322" w:right="297"/>
              <w:jc w:val="center"/>
              <w:rPr>
                <w:sz w:val="18"/>
              </w:rPr>
            </w:pPr>
            <w:r>
              <w:rPr>
                <w:sz w:val="18"/>
              </w:rPr>
              <w:t>实际用电量占比</w:t>
            </w:r>
          </w:p>
        </w:tc>
        <w:tc>
          <w:tcPr>
            <w:tcW w:w="5102" w:type="dxa"/>
            <w:shd w:val="clear" w:color="auto" w:fill="BCD5ED"/>
          </w:tcPr>
          <w:p>
            <w:pPr>
              <w:pStyle w:val="13"/>
              <w:spacing w:before="154"/>
              <w:ind w:left="27"/>
              <w:jc w:val="center"/>
              <w:rPr>
                <w:sz w:val="18"/>
              </w:rPr>
            </w:pPr>
            <w:r>
              <w:rPr>
                <w:rFonts w:hint="eastAsia"/>
                <w:sz w:val="18"/>
                <w:lang w:eastAsia="zh-CN"/>
              </w:rPr>
              <w:t>/</w:t>
            </w:r>
            <w:r>
              <w:rPr>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1702" w:type="dxa"/>
            <w:vMerge w:val="continue"/>
            <w:tcBorders>
              <w:top w:val="nil"/>
            </w:tcBorders>
          </w:tcPr>
          <w:p>
            <w:pPr>
              <w:rPr>
                <w:sz w:val="2"/>
                <w:szCs w:val="2"/>
              </w:rPr>
            </w:pPr>
          </w:p>
        </w:tc>
        <w:tc>
          <w:tcPr>
            <w:tcW w:w="1949" w:type="dxa"/>
          </w:tcPr>
          <w:p>
            <w:pPr>
              <w:pStyle w:val="13"/>
              <w:spacing w:before="153"/>
              <w:ind w:left="322" w:right="294"/>
              <w:jc w:val="center"/>
              <w:rPr>
                <w:sz w:val="18"/>
              </w:rPr>
            </w:pPr>
            <w:r>
              <w:rPr>
                <w:sz w:val="18"/>
              </w:rPr>
              <w:t>联动价格</w:t>
            </w:r>
          </w:p>
        </w:tc>
        <w:tc>
          <w:tcPr>
            <w:tcW w:w="5102" w:type="dxa"/>
          </w:tcPr>
          <w:p>
            <w:pPr>
              <w:pStyle w:val="13"/>
              <w:spacing w:before="153"/>
              <w:ind w:left="1270" w:right="1242"/>
              <w:jc w:val="center"/>
              <w:rPr>
                <w:sz w:val="18"/>
                <w:lang w:eastAsia="zh-CN"/>
              </w:rPr>
            </w:pPr>
            <w:r>
              <w:rPr>
                <w:sz w:val="18"/>
                <w:lang w:eastAsia="zh-CN"/>
              </w:rPr>
              <w:t>批发市场绿电月度环境溢价均价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8753" w:type="dxa"/>
            <w:gridSpan w:val="3"/>
          </w:tcPr>
          <w:p>
            <w:pPr>
              <w:pStyle w:val="13"/>
              <w:spacing w:before="114"/>
              <w:ind w:left="2207"/>
              <w:rPr>
                <w:b/>
                <w:sz w:val="24"/>
                <w:lang w:eastAsia="zh-CN"/>
              </w:rPr>
            </w:pPr>
            <w:r>
              <w:rPr>
                <w:b/>
                <w:sz w:val="24"/>
                <w:lang w:eastAsia="zh-CN"/>
              </w:rPr>
              <w:t>二、环境溢价偏差电费（系统自动计算）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1702" w:type="dxa"/>
          </w:tcPr>
          <w:p>
            <w:pPr>
              <w:pStyle w:val="13"/>
              <w:spacing w:before="154"/>
              <w:ind w:left="489"/>
              <w:rPr>
                <w:sz w:val="18"/>
              </w:rPr>
            </w:pPr>
            <w:r>
              <w:rPr>
                <w:sz w:val="18"/>
              </w:rPr>
              <w:t>偏差电量</w:t>
            </w:r>
          </w:p>
        </w:tc>
        <w:tc>
          <w:tcPr>
            <w:tcW w:w="7051" w:type="dxa"/>
            <w:gridSpan w:val="2"/>
          </w:tcPr>
          <w:p>
            <w:pPr>
              <w:pStyle w:val="13"/>
              <w:spacing w:before="154"/>
              <w:ind w:left="284"/>
              <w:rPr>
                <w:sz w:val="18"/>
                <w:lang w:eastAsia="zh-CN"/>
              </w:rPr>
            </w:pPr>
            <w:r>
              <w:rPr>
                <w:sz w:val="18"/>
                <w:lang w:eastAsia="zh-CN"/>
              </w:rPr>
              <w:t>偏差电量=合同电量×绿电调整系数-合同电量；且偏差电量大于 0 时，按 0 计算。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1702" w:type="dxa"/>
          </w:tcPr>
          <w:p>
            <w:pPr>
              <w:pStyle w:val="13"/>
              <w:spacing w:before="154"/>
              <w:ind w:left="489"/>
              <w:rPr>
                <w:sz w:val="18"/>
              </w:rPr>
            </w:pPr>
            <w:r>
              <w:rPr>
                <w:sz w:val="18"/>
              </w:rPr>
              <w:t>偏差价格</w:t>
            </w:r>
          </w:p>
        </w:tc>
        <w:tc>
          <w:tcPr>
            <w:tcW w:w="7051" w:type="dxa"/>
            <w:gridSpan w:val="2"/>
          </w:tcPr>
          <w:p>
            <w:pPr>
              <w:pStyle w:val="13"/>
              <w:spacing w:before="154"/>
              <w:ind w:left="1904"/>
              <w:rPr>
                <w:sz w:val="18"/>
                <w:lang w:eastAsia="zh-CN"/>
              </w:rPr>
            </w:pPr>
            <w:r>
              <w:rPr>
                <w:sz w:val="18"/>
                <w:lang w:eastAsia="zh-CN"/>
              </w:rPr>
              <w:t>根据上述固定价格、联动价格加权计算值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00" w:hRule="atLeast"/>
        </w:trPr>
        <w:tc>
          <w:tcPr>
            <w:tcW w:w="8753" w:type="dxa"/>
            <w:gridSpan w:val="3"/>
          </w:tcPr>
          <w:p>
            <w:pPr>
              <w:pStyle w:val="13"/>
              <w:spacing w:before="79"/>
              <w:ind w:left="107"/>
              <w:rPr>
                <w:sz w:val="16"/>
                <w:lang w:eastAsia="zh-CN"/>
              </w:rPr>
            </w:pPr>
            <w:r>
              <w:rPr>
                <w:sz w:val="16"/>
                <w:lang w:eastAsia="zh-CN"/>
              </w:rPr>
              <w:t>备注：</w:t>
            </w:r>
          </w:p>
          <w:p>
            <w:pPr>
              <w:pStyle w:val="13"/>
              <w:spacing w:before="95" w:line="350" w:lineRule="auto"/>
              <w:ind w:left="107" w:right="76" w:firstLine="319"/>
              <w:rPr>
                <w:sz w:val="16"/>
                <w:lang w:eastAsia="zh-CN"/>
              </w:rPr>
            </w:pPr>
            <w:r>
              <w:rPr>
                <w:sz w:val="16"/>
                <w:lang w:eastAsia="zh-CN"/>
              </w:rPr>
              <w:t>1.甲乙双方需明确固定价格和市场联动价格模式部分的电量占比和价格，可只选择其中一种价格模式。绿电环境溢价用电量占比小于等于 100%。</w:t>
            </w:r>
          </w:p>
          <w:p>
            <w:pPr>
              <w:pStyle w:val="13"/>
              <w:spacing w:before="2"/>
              <w:ind w:left="426"/>
              <w:rPr>
                <w:sz w:val="16"/>
                <w:lang w:eastAsia="zh-CN"/>
              </w:rPr>
            </w:pPr>
            <w:r>
              <w:rPr>
                <w:sz w:val="16"/>
                <w:lang w:eastAsia="zh-CN"/>
              </w:rPr>
              <w:t>2.环境溢价固定价格介于 0-50 厘/千瓦时之间。</w:t>
            </w:r>
          </w:p>
          <w:p>
            <w:pPr>
              <w:pStyle w:val="13"/>
              <w:spacing w:before="95"/>
              <w:ind w:left="426"/>
              <w:rPr>
                <w:sz w:val="16"/>
                <w:lang w:eastAsia="zh-CN"/>
              </w:rPr>
            </w:pPr>
            <w:r>
              <w:rPr>
                <w:sz w:val="16"/>
                <w:lang w:eastAsia="zh-CN"/>
              </w:rPr>
              <w:t>3.用户绿电环境溢价总电费=环境溢价合同电费+环境溢价偏差电费。</w:t>
            </w:r>
          </w:p>
          <w:p>
            <w:pPr>
              <w:pStyle w:val="13"/>
              <w:spacing w:before="95" w:line="350" w:lineRule="auto"/>
              <w:ind w:left="107" w:right="57" w:firstLine="319"/>
              <w:rPr>
                <w:sz w:val="16"/>
                <w:lang w:eastAsia="zh-CN"/>
              </w:rPr>
            </w:pPr>
            <w:r>
              <w:rPr>
                <w:sz w:val="16"/>
                <w:lang w:eastAsia="zh-CN"/>
              </w:rPr>
              <w:t>4</w:t>
            </w:r>
            <w:r>
              <w:rPr>
                <w:spacing w:val="-3"/>
                <w:sz w:val="16"/>
                <w:lang w:eastAsia="zh-CN"/>
              </w:rPr>
              <w:t xml:space="preserve">.如零售用户绿电环境溢价合同总电量占实际用电量比例高于 </w:t>
            </w:r>
            <w:r>
              <w:rPr>
                <w:sz w:val="16"/>
                <w:lang w:eastAsia="zh-CN"/>
              </w:rPr>
              <w:t>9</w:t>
            </w:r>
            <w:r>
              <w:rPr>
                <w:spacing w:val="-2"/>
                <w:sz w:val="16"/>
                <w:lang w:eastAsia="zh-CN"/>
              </w:rPr>
              <w:t>0%</w:t>
            </w:r>
            <w:r>
              <w:rPr>
                <w:spacing w:val="-15"/>
                <w:sz w:val="16"/>
                <w:lang w:eastAsia="zh-CN"/>
              </w:rPr>
              <w:t xml:space="preserve">，取消附表 </w:t>
            </w:r>
            <w:r>
              <w:rPr>
                <w:sz w:val="16"/>
                <w:lang w:eastAsia="zh-CN"/>
              </w:rPr>
              <w:t xml:space="preserve">1 </w:t>
            </w:r>
            <w:r>
              <w:rPr>
                <w:spacing w:val="-3"/>
                <w:sz w:val="16"/>
                <w:lang w:eastAsia="zh-CN"/>
              </w:rPr>
              <w:t>电能量结算模式市场联动电量占比不低</w:t>
            </w:r>
            <w:r>
              <w:rPr>
                <w:spacing w:val="-23"/>
                <w:sz w:val="16"/>
                <w:lang w:eastAsia="zh-CN"/>
              </w:rPr>
              <w:t xml:space="preserve">于 </w:t>
            </w:r>
            <w:r>
              <w:rPr>
                <w:sz w:val="16"/>
                <w:lang w:eastAsia="zh-CN"/>
              </w:rPr>
              <w:t>10%</w:t>
            </w:r>
            <w:r>
              <w:rPr>
                <w:spacing w:val="-2"/>
                <w:sz w:val="16"/>
                <w:lang w:eastAsia="zh-CN"/>
              </w:rPr>
              <w:t>的限制。</w:t>
            </w:r>
          </w:p>
          <w:p>
            <w:pPr>
              <w:pStyle w:val="13"/>
              <w:spacing w:before="1"/>
              <w:ind w:left="426"/>
              <w:rPr>
                <w:sz w:val="16"/>
                <w:lang w:eastAsia="zh-CN"/>
              </w:rPr>
            </w:pPr>
            <w:r>
              <w:rPr>
                <w:sz w:val="16"/>
                <w:lang w:eastAsia="zh-CN"/>
              </w:rPr>
              <w:t>5.批发市场绿电月度环境溢价均价、绿电调整系数详见合同正文第三章名词解释 3.12 至 3.13 条。</w:t>
            </w:r>
          </w:p>
          <w:p>
            <w:pPr>
              <w:pStyle w:val="13"/>
              <w:spacing w:before="95" w:line="200" w:lineRule="exact"/>
              <w:ind w:left="426"/>
              <w:rPr>
                <w:sz w:val="16"/>
                <w:lang w:eastAsia="zh-CN"/>
              </w:rPr>
            </w:pPr>
            <w:r>
              <w:rPr>
                <w:sz w:val="16"/>
                <w:lang w:eastAsia="zh-CN"/>
              </w:rPr>
              <w:t>6.上述第 2 点、第 4 点比例数值以政府最终发布的年度交易方案和规则为准。</w:t>
            </w:r>
          </w:p>
        </w:tc>
      </w:tr>
    </w:tbl>
    <w:p>
      <w:pPr>
        <w:rPr>
          <w:lang w:eastAsia="zh-CN"/>
        </w:rPr>
      </w:pPr>
    </w:p>
    <w:p>
      <w:pPr>
        <w:pStyle w:val="2"/>
        <w:ind w:left="440"/>
        <w:rPr>
          <w:lang w:eastAsia="zh-CN"/>
        </w:rPr>
      </w:pPr>
    </w:p>
    <w:p>
      <w:pPr>
        <w:rPr>
          <w:lang w:eastAsia="zh-CN"/>
        </w:rPr>
      </w:pPr>
    </w:p>
    <w:p>
      <w:pPr>
        <w:pStyle w:val="2"/>
        <w:ind w:left="440"/>
        <w:rPr>
          <w:lang w:eastAsia="zh-CN"/>
        </w:rPr>
      </w:pPr>
    </w:p>
    <w:p>
      <w:pPr>
        <w:rPr>
          <w:lang w:eastAsia="zh-CN"/>
        </w:rPr>
      </w:pPr>
    </w:p>
    <w:p>
      <w:pPr>
        <w:pStyle w:val="2"/>
        <w:ind w:left="440"/>
        <w:rPr>
          <w:lang w:eastAsia="zh-CN"/>
        </w:rPr>
      </w:pPr>
    </w:p>
    <w:p>
      <w:pPr>
        <w:rPr>
          <w:lang w:eastAsia="zh-CN"/>
        </w:rPr>
      </w:pPr>
    </w:p>
    <w:p>
      <w:pPr>
        <w:pStyle w:val="2"/>
        <w:ind w:left="440"/>
        <w:rPr>
          <w:lang w:eastAsia="zh-CN"/>
        </w:rPr>
      </w:pPr>
    </w:p>
    <w:p>
      <w:pPr>
        <w:rPr>
          <w:lang w:eastAsia="zh-CN"/>
        </w:rPr>
      </w:pPr>
    </w:p>
    <w:p>
      <w:pPr>
        <w:pStyle w:val="2"/>
        <w:ind w:left="440"/>
        <w:rPr>
          <w:lang w:eastAsia="zh-CN"/>
        </w:rPr>
      </w:pPr>
    </w:p>
    <w:p>
      <w:pPr>
        <w:rPr>
          <w:lang w:eastAsia="zh-CN"/>
        </w:rPr>
      </w:pPr>
    </w:p>
    <w:p>
      <w:pPr>
        <w:rPr>
          <w:lang w:eastAsia="zh-CN"/>
        </w:rPr>
      </w:pPr>
    </w:p>
    <w:p>
      <w:pPr>
        <w:pStyle w:val="2"/>
        <w:ind w:left="440"/>
        <w:jc w:val="both"/>
        <w:rPr>
          <w:sz w:val="36"/>
          <w:lang w:eastAsia="zh-CN"/>
        </w:rPr>
      </w:pPr>
      <w:r>
        <w:rPr>
          <w:sz w:val="36"/>
          <w:lang w:eastAsia="zh-CN"/>
        </w:rPr>
        <w:t>附</w:t>
      </w:r>
      <w:r>
        <w:rPr>
          <w:rFonts w:hint="eastAsia"/>
          <w:sz w:val="36"/>
          <w:lang w:eastAsia="zh-CN"/>
        </w:rPr>
        <w:t xml:space="preserve">表 </w:t>
      </w:r>
      <w:r>
        <w:rPr>
          <w:sz w:val="36"/>
          <w:lang w:eastAsia="zh-CN"/>
        </w:rPr>
        <w:t>3：2023年电力用户计划电量明细表</w:t>
      </w:r>
    </w:p>
    <w:tbl>
      <w:tblPr>
        <w:tblStyle w:val="9"/>
        <w:tblpPr w:leftFromText="180" w:rightFromText="180" w:vertAnchor="page" w:horzAnchor="page" w:tblpXSpec="center" w:tblpY="2293"/>
        <w:tblOverlap w:val="never"/>
        <w:tblW w:w="6453" w:type="dxa"/>
        <w:jc w:val="center"/>
        <w:tblInd w:w="0" w:type="dxa"/>
        <w:tblLayout w:type="fixed"/>
        <w:tblCellMar>
          <w:top w:w="0" w:type="dxa"/>
          <w:left w:w="108" w:type="dxa"/>
          <w:bottom w:w="0" w:type="dxa"/>
          <w:right w:w="108" w:type="dxa"/>
        </w:tblCellMar>
      </w:tblPr>
      <w:tblGrid>
        <w:gridCol w:w="2846"/>
        <w:gridCol w:w="3607"/>
      </w:tblGrid>
      <w:tr>
        <w:tblPrEx>
          <w:tblLayout w:type="fixed"/>
          <w:tblCellMar>
            <w:top w:w="0" w:type="dxa"/>
            <w:left w:w="108" w:type="dxa"/>
            <w:bottom w:w="0" w:type="dxa"/>
            <w:right w:w="108" w:type="dxa"/>
          </w:tblCellMar>
        </w:tblPrEx>
        <w:trPr>
          <w:trHeight w:val="828" w:hRule="atLeast"/>
          <w:jc w:val="center"/>
        </w:trPr>
        <w:tc>
          <w:tcPr>
            <w:tcW w:w="6453" w:type="dxa"/>
            <w:gridSpan w:val="2"/>
            <w:tcBorders>
              <w:top w:val="nil"/>
              <w:left w:val="nil"/>
              <w:bottom w:val="single" w:color="auto" w:sz="4" w:space="0"/>
              <w:right w:val="nil"/>
            </w:tcBorders>
            <w:shd w:val="clear" w:color="auto" w:fill="auto"/>
            <w:vAlign w:val="center"/>
          </w:tcPr>
          <w:p>
            <w:pPr>
              <w:widowControl/>
              <w:tabs>
                <w:tab w:val="left" w:pos="1756"/>
              </w:tabs>
              <w:jc w:val="both"/>
              <w:textAlignment w:val="center"/>
              <w:rPr>
                <w:color w:val="000000"/>
                <w:sz w:val="28"/>
                <w:szCs w:val="28"/>
                <w:lang w:eastAsia="zh-CN" w:bidi="ar"/>
              </w:rPr>
            </w:pPr>
            <w:r>
              <w:rPr>
                <w:rFonts w:hint="eastAsia"/>
                <w:color w:val="000000"/>
                <w:sz w:val="28"/>
                <w:szCs w:val="28"/>
                <w:lang w:eastAsia="zh-CN" w:bidi="ar"/>
              </w:rPr>
              <w:t>电力用户：</w:t>
            </w:r>
            <w:r>
              <w:rPr>
                <w:rFonts w:hint="eastAsia"/>
                <w:sz w:val="28"/>
                <w:szCs w:val="28"/>
                <w:u w:val="thick"/>
                <w:lang w:val="en-US" w:eastAsia="zh-CN"/>
              </w:rPr>
              <w:t xml:space="preserve">                 </w:t>
            </w:r>
            <w:r>
              <w:rPr>
                <w:rFonts w:hint="eastAsia"/>
                <w:color w:val="000000"/>
                <w:sz w:val="28"/>
                <w:szCs w:val="28"/>
                <w:lang w:eastAsia="zh-CN" w:bidi="ar"/>
              </w:rPr>
              <w:t>有限公司</w:t>
            </w: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月份</w:t>
            </w:r>
          </w:p>
        </w:tc>
        <w:tc>
          <w:tcPr>
            <w:tcW w:w="3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电量（万度)</w:t>
            </w: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1月</w:t>
            </w:r>
          </w:p>
        </w:tc>
        <w:tc>
          <w:tcPr>
            <w:tcW w:w="360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2月</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3月</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4月</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5月</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6月</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7月</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8月</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9月</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10月</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11月</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r>
        <w:tblPrEx>
          <w:tblLayout w:type="fixed"/>
          <w:tblCellMar>
            <w:top w:w="0" w:type="dxa"/>
            <w:left w:w="108" w:type="dxa"/>
            <w:bottom w:w="0" w:type="dxa"/>
            <w:right w:w="108" w:type="dxa"/>
          </w:tblCellMar>
        </w:tblPrEx>
        <w:trPr>
          <w:trHeight w:val="623" w:hRule="atLeast"/>
          <w:jc w:val="center"/>
        </w:trPr>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12月</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r>
        <w:tblPrEx>
          <w:tblLayout w:type="fixed"/>
          <w:tblCellMar>
            <w:top w:w="0" w:type="dxa"/>
            <w:left w:w="108" w:type="dxa"/>
            <w:bottom w:w="0" w:type="dxa"/>
            <w:right w:w="108" w:type="dxa"/>
          </w:tblCellMar>
        </w:tblPrEx>
        <w:trPr>
          <w:trHeight w:val="632" w:hRule="atLeast"/>
          <w:jc w:val="center"/>
        </w:trPr>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rFonts w:hint="eastAsia"/>
                <w:color w:val="000000"/>
                <w:sz w:val="28"/>
                <w:szCs w:val="28"/>
                <w:lang w:eastAsia="zh-CN" w:bidi="ar"/>
              </w:rPr>
              <w:t>合计：</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p>
        </w:tc>
      </w:tr>
    </w:tbl>
    <w:p>
      <w:pPr>
        <w:pStyle w:val="2"/>
        <w:ind w:left="440"/>
      </w:pPr>
    </w:p>
    <w:p>
      <w:pPr>
        <w:pStyle w:val="2"/>
        <w:ind w:left="0" w:leftChars="0"/>
      </w:pPr>
    </w:p>
    <w:p>
      <w:pPr>
        <w:pStyle w:val="2"/>
        <w:ind w:left="440"/>
      </w:pPr>
    </w:p>
    <w:sectPr>
      <w:pgSz w:w="11910" w:h="16840"/>
      <w:pgMar w:top="1360" w:right="1160" w:bottom="1100" w:left="1180" w:header="0" w:footer="9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lackadder ITC">
    <w:panose1 w:val="04020505051007020D02"/>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方正中等线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Gabriola">
    <w:panose1 w:val="04040605051002020D02"/>
    <w:charset w:val="00"/>
    <w:family w:val="auto"/>
    <w:pitch w:val="default"/>
    <w:sig w:usb0="E00002EF" w:usb1="5000204B" w:usb2="00000000" w:usb3="00000000" w:csb0="2000009F"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 w:name="Traditional Arabic">
    <w:altName w:val="Times New Roman"/>
    <w:panose1 w:val="02020603050405020304"/>
    <w:charset w:val="00"/>
    <w:family w:val="auto"/>
    <w:pitch w:val="default"/>
    <w:sig w:usb0="00000000" w:usb1="00000000" w:usb2="00000008" w:usb3="00000000" w:csb0="00000041" w:csb1="20080000"/>
  </w:font>
  <w:font w:name="仿宋">
    <w:panose1 w:val="02010609060101010101"/>
    <w:charset w:val="50"/>
    <w:family w:val="auto"/>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3309620</wp:posOffset>
              </wp:positionH>
              <wp:positionV relativeFrom="page">
                <wp:posOffset>9929495</wp:posOffset>
              </wp:positionV>
              <wp:extent cx="941705"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41705" cy="152400"/>
                      </a:xfrm>
                      <a:prstGeom prst="rect">
                        <a:avLst/>
                      </a:prstGeom>
                      <a:noFill/>
                      <a:ln>
                        <a:noFill/>
                      </a:ln>
                    </wps:spPr>
                    <wps:txbx>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8</w:t>
                          </w:r>
                          <w:r>
                            <w:fldChar w:fldCharType="end"/>
                          </w:r>
                          <w:r>
                            <w:rPr>
                              <w:rFonts w:ascii="Calibri" w:eastAsia="Calibri"/>
                              <w:sz w:val="18"/>
                            </w:rPr>
                            <w:t xml:space="preserve"> </w:t>
                          </w:r>
                          <w:r>
                            <w:rPr>
                              <w:sz w:val="18"/>
                            </w:rPr>
                            <w:t xml:space="preserve">页 共 </w:t>
                          </w:r>
                          <w:r>
                            <w:rPr>
                              <w:rFonts w:hint="eastAsia" w:ascii="Calibri"/>
                              <w:sz w:val="18"/>
                              <w:lang w:eastAsia="zh-CN"/>
                            </w:rPr>
                            <w:t>20</w:t>
                          </w:r>
                          <w:r>
                            <w:rPr>
                              <w:sz w:val="18"/>
                            </w:rPr>
                            <w:t>页</w:t>
                          </w:r>
                        </w:p>
                      </w:txbxContent>
                    </wps:txbx>
                    <wps:bodyPr lIns="0" tIns="0" rIns="0" bIns="0" upright="1"/>
                  </wps:wsp>
                </a:graphicData>
              </a:graphic>
            </wp:anchor>
          </w:drawing>
        </mc:Choice>
        <mc:Fallback>
          <w:pict>
            <v:shape id="文本框 1025" o:spid="_x0000_s1026" o:spt="202" type="#_x0000_t202" style="position:absolute;left:0pt;margin-left:260.6pt;margin-top:781.85pt;height:12pt;width:74.15pt;mso-position-horizontal-relative:page;mso-position-vertical-relative:page;z-index:-251657216;mso-width-relative:page;mso-height-relative:page;" filled="f" stroked="f" coordsize="21600,21600" o:gfxdata="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6GKmNsAAAANAQAADwAA&#10;AAAAAAABACAAAAAiAAAAZHJzL2Rvd25yZXYueG1sUEsBAhQAFAAAAAgAh07iQOUX1vOhAQAAJgMA&#10;AA4AAAAAAAAAAQAgAAAAKgEAAGRycy9lMm9Eb2MueG1sUEsFBgAAAAAGAAYAWQEAAD0FAAAAAA==&#10;">
              <v:fill on="f" focussize="0,0"/>
              <v:stroke on="f"/>
              <v:imagedata o:title=""/>
              <o:lock v:ext="edit" aspectratio="f"/>
              <v:textbox inset="0mm,0mm,0mm,0mm">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8</w:t>
                    </w:r>
                    <w:r>
                      <w:fldChar w:fldCharType="end"/>
                    </w:r>
                    <w:r>
                      <w:rPr>
                        <w:rFonts w:ascii="Calibri" w:eastAsia="Calibri"/>
                        <w:sz w:val="18"/>
                      </w:rPr>
                      <w:t xml:space="preserve"> </w:t>
                    </w:r>
                    <w:r>
                      <w:rPr>
                        <w:sz w:val="18"/>
                      </w:rPr>
                      <w:t xml:space="preserve">页 共 </w:t>
                    </w:r>
                    <w:r>
                      <w:rPr>
                        <w:rFonts w:hint="eastAsia" w:ascii="Calibri"/>
                        <w:sz w:val="18"/>
                        <w:lang w:eastAsia="zh-CN"/>
                      </w:rPr>
                      <w:t>20</w:t>
                    </w:r>
                    <w:r>
                      <w:rPr>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3280410</wp:posOffset>
              </wp:positionH>
              <wp:positionV relativeFrom="page">
                <wp:posOffset>9929495</wp:posOffset>
              </wp:positionV>
              <wp:extent cx="99949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999490" cy="152400"/>
                      </a:xfrm>
                      <a:prstGeom prst="rect">
                        <a:avLst/>
                      </a:prstGeom>
                      <a:noFill/>
                      <a:ln>
                        <a:noFill/>
                      </a:ln>
                    </wps:spPr>
                    <wps:txbx>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12</w:t>
                          </w:r>
                          <w:r>
                            <w:fldChar w:fldCharType="end"/>
                          </w:r>
                          <w:r>
                            <w:rPr>
                              <w:rFonts w:ascii="Calibri" w:eastAsia="Calibri"/>
                              <w:sz w:val="18"/>
                            </w:rPr>
                            <w:t xml:space="preserve"> </w:t>
                          </w:r>
                          <w:r>
                            <w:rPr>
                              <w:sz w:val="18"/>
                            </w:rPr>
                            <w:t xml:space="preserve">页 共 </w:t>
                          </w:r>
                          <w:r>
                            <w:rPr>
                              <w:rFonts w:hint="eastAsia" w:ascii="Calibri"/>
                              <w:sz w:val="18"/>
                              <w:lang w:eastAsia="zh-CN"/>
                            </w:rPr>
                            <w:t>20</w:t>
                          </w:r>
                          <w:r>
                            <w:rPr>
                              <w:rFonts w:ascii="Calibri" w:eastAsia="Calibri"/>
                              <w:sz w:val="18"/>
                            </w:rPr>
                            <w:t xml:space="preserve"> </w:t>
                          </w:r>
                          <w:r>
                            <w:rPr>
                              <w:sz w:val="18"/>
                            </w:rPr>
                            <w:t>页</w:t>
                          </w:r>
                        </w:p>
                      </w:txbxContent>
                    </wps:txbx>
                    <wps:bodyPr lIns="0" tIns="0" rIns="0" bIns="0" upright="1"/>
                  </wps:wsp>
                </a:graphicData>
              </a:graphic>
            </wp:anchor>
          </w:drawing>
        </mc:Choice>
        <mc:Fallback>
          <w:pict>
            <v:shape id="文本框 1026" o:spid="_x0000_s1026" o:spt="202" type="#_x0000_t202" style="position:absolute;left:0pt;margin-left:258.3pt;margin-top:781.85pt;height:12pt;width:78.7pt;mso-position-horizontal-relative:page;mso-position-vertical-relative:page;z-index:-251656192;mso-width-relative:page;mso-height-relative:page;" filled="f" stroked="f" coordsize="21600,21600" o:gfxdata="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33R7s2gAAAA0BAAAPAAAA&#10;AAAAAAEAIAAAACIAAABkcnMvZG93bnJldi54bWxQSwECFAAUAAAACACHTuJAs9FvlaEBAAAmAwAA&#10;DgAAAAAAAAABACAAAAApAQAAZHJzL2Uyb0RvYy54bWxQSwUGAAAAAAYABgBZAQAAPAUAAAAA&#10;">
              <v:fill on="f" focussize="0,0"/>
              <v:stroke on="f"/>
              <v:imagedata o:title=""/>
              <o:lock v:ext="edit" aspectratio="f"/>
              <v:textbox inset="0mm,0mm,0mm,0mm">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12</w:t>
                    </w:r>
                    <w:r>
                      <w:fldChar w:fldCharType="end"/>
                    </w:r>
                    <w:r>
                      <w:rPr>
                        <w:rFonts w:ascii="Calibri" w:eastAsia="Calibri"/>
                        <w:sz w:val="18"/>
                      </w:rPr>
                      <w:t xml:space="preserve"> </w:t>
                    </w:r>
                    <w:r>
                      <w:rPr>
                        <w:sz w:val="18"/>
                      </w:rPr>
                      <w:t xml:space="preserve">页 共 </w:t>
                    </w:r>
                    <w:r>
                      <w:rPr>
                        <w:rFonts w:hint="eastAsia" w:ascii="Calibri"/>
                        <w:sz w:val="18"/>
                        <w:lang w:eastAsia="zh-CN"/>
                      </w:rPr>
                      <w:t>20</w:t>
                    </w:r>
                    <w:r>
                      <w:rPr>
                        <w:rFonts w:ascii="Calibri" w:eastAsia="Calibri"/>
                        <w:sz w:val="18"/>
                      </w:rPr>
                      <w:t xml:space="preserve"> </w:t>
                    </w:r>
                    <w:r>
                      <w:rPr>
                        <w:sz w:val="18"/>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9"/>
      <w:numFmt w:val="decimal"/>
      <w:lvlText w:val="%1"/>
      <w:lvlJc w:val="left"/>
      <w:pPr>
        <w:ind w:left="620" w:hanging="480"/>
      </w:pPr>
      <w:rPr>
        <w:rFonts w:hint="default"/>
      </w:rPr>
    </w:lvl>
    <w:lvl w:ilvl="1" w:tentative="0">
      <w:start w:val="1"/>
      <w:numFmt w:val="decimal"/>
      <w:lvlText w:val="%1.%2"/>
      <w:lvlJc w:val="left"/>
      <w:pPr>
        <w:ind w:left="620" w:hanging="480"/>
      </w:pPr>
      <w:rPr>
        <w:rFonts w:hint="default" w:ascii="Times New Roman" w:hAnsi="Times New Roman" w:eastAsia="Times New Roman" w:cs="Times New Roman"/>
        <w:spacing w:val="-2"/>
        <w:w w:val="99"/>
        <w:sz w:val="32"/>
        <w:szCs w:val="32"/>
      </w:rPr>
    </w:lvl>
    <w:lvl w:ilvl="2" w:tentative="0">
      <w:start w:val="1"/>
      <w:numFmt w:val="decimal"/>
      <w:lvlText w:val="%1.%2.%3"/>
      <w:lvlJc w:val="left"/>
      <w:pPr>
        <w:ind w:left="620" w:hanging="720"/>
      </w:pPr>
      <w:rPr>
        <w:rFonts w:hint="default" w:ascii="Times New Roman" w:hAnsi="Times New Roman" w:eastAsia="Times New Roman" w:cs="Times New Roman"/>
        <w:spacing w:val="-1"/>
        <w:w w:val="99"/>
        <w:sz w:val="32"/>
        <w:szCs w:val="32"/>
      </w:rPr>
    </w:lvl>
    <w:lvl w:ilvl="3" w:tentative="0">
      <w:start w:val="0"/>
      <w:numFmt w:val="bullet"/>
      <w:lvlText w:val="•"/>
      <w:lvlJc w:val="left"/>
      <w:pPr>
        <w:ind w:left="3303" w:hanging="720"/>
      </w:pPr>
      <w:rPr>
        <w:rFonts w:hint="default"/>
      </w:rPr>
    </w:lvl>
    <w:lvl w:ilvl="4" w:tentative="0">
      <w:start w:val="0"/>
      <w:numFmt w:val="bullet"/>
      <w:lvlText w:val="•"/>
      <w:lvlJc w:val="left"/>
      <w:pPr>
        <w:ind w:left="4198" w:hanging="720"/>
      </w:pPr>
      <w:rPr>
        <w:rFonts w:hint="default"/>
      </w:rPr>
    </w:lvl>
    <w:lvl w:ilvl="5" w:tentative="0">
      <w:start w:val="0"/>
      <w:numFmt w:val="bullet"/>
      <w:lvlText w:val="•"/>
      <w:lvlJc w:val="left"/>
      <w:pPr>
        <w:ind w:left="5093" w:hanging="720"/>
      </w:pPr>
      <w:rPr>
        <w:rFonts w:hint="default"/>
      </w:rPr>
    </w:lvl>
    <w:lvl w:ilvl="6" w:tentative="0">
      <w:start w:val="0"/>
      <w:numFmt w:val="bullet"/>
      <w:lvlText w:val="•"/>
      <w:lvlJc w:val="left"/>
      <w:pPr>
        <w:ind w:left="5987" w:hanging="720"/>
      </w:pPr>
      <w:rPr>
        <w:rFonts w:hint="default"/>
      </w:rPr>
    </w:lvl>
    <w:lvl w:ilvl="7" w:tentative="0">
      <w:start w:val="0"/>
      <w:numFmt w:val="bullet"/>
      <w:lvlText w:val="•"/>
      <w:lvlJc w:val="left"/>
      <w:pPr>
        <w:ind w:left="6882" w:hanging="720"/>
      </w:pPr>
      <w:rPr>
        <w:rFonts w:hint="default"/>
      </w:rPr>
    </w:lvl>
    <w:lvl w:ilvl="8" w:tentative="0">
      <w:start w:val="0"/>
      <w:numFmt w:val="bullet"/>
      <w:lvlText w:val="•"/>
      <w:lvlJc w:val="left"/>
      <w:pPr>
        <w:ind w:left="7776" w:hanging="720"/>
      </w:pPr>
      <w:rPr>
        <w:rFonts w:hint="default"/>
      </w:rPr>
    </w:lvl>
  </w:abstractNum>
  <w:abstractNum w:abstractNumId="1">
    <w:nsid w:val="B5E306ED"/>
    <w:multiLevelType w:val="multilevel"/>
    <w:tmpl w:val="B5E306ED"/>
    <w:lvl w:ilvl="0" w:tentative="0">
      <w:start w:val="5"/>
      <w:numFmt w:val="decimal"/>
      <w:lvlText w:val="%1"/>
      <w:lvlJc w:val="left"/>
      <w:pPr>
        <w:ind w:left="1740" w:hanging="480"/>
      </w:pPr>
      <w:rPr>
        <w:rFonts w:hint="default"/>
      </w:rPr>
    </w:lvl>
    <w:lvl w:ilvl="1" w:tentative="0">
      <w:start w:val="2"/>
      <w:numFmt w:val="decimal"/>
      <w:lvlText w:val="%1.%2"/>
      <w:lvlJc w:val="left"/>
      <w:pPr>
        <w:ind w:left="1740" w:hanging="480"/>
      </w:pPr>
      <w:rPr>
        <w:rFonts w:hint="default" w:ascii="Times New Roman" w:hAnsi="Times New Roman" w:eastAsia="Times New Roman" w:cs="Times New Roman"/>
        <w:spacing w:val="-2"/>
        <w:w w:val="99"/>
        <w:sz w:val="32"/>
        <w:szCs w:val="32"/>
      </w:rPr>
    </w:lvl>
    <w:lvl w:ilvl="2" w:tentative="0">
      <w:start w:val="1"/>
      <w:numFmt w:val="decimal"/>
      <w:lvlText w:val="%1.%2.%3"/>
      <w:lvlJc w:val="left"/>
      <w:pPr>
        <w:ind w:left="620" w:hanging="720"/>
      </w:pPr>
      <w:rPr>
        <w:rFonts w:hint="default" w:ascii="Times New Roman" w:hAnsi="Times New Roman" w:eastAsia="Times New Roman" w:cs="Times New Roman"/>
        <w:spacing w:val="-2"/>
        <w:w w:val="99"/>
        <w:sz w:val="32"/>
        <w:szCs w:val="32"/>
      </w:rPr>
    </w:lvl>
    <w:lvl w:ilvl="3" w:tentative="0">
      <w:start w:val="0"/>
      <w:numFmt w:val="bullet"/>
      <w:lvlText w:val="•"/>
      <w:lvlJc w:val="left"/>
      <w:pPr>
        <w:ind w:left="3479" w:hanging="720"/>
      </w:pPr>
      <w:rPr>
        <w:rFonts w:hint="default"/>
      </w:rPr>
    </w:lvl>
    <w:lvl w:ilvl="4" w:tentative="0">
      <w:start w:val="0"/>
      <w:numFmt w:val="bullet"/>
      <w:lvlText w:val="•"/>
      <w:lvlJc w:val="left"/>
      <w:pPr>
        <w:ind w:left="4348" w:hanging="720"/>
      </w:pPr>
      <w:rPr>
        <w:rFonts w:hint="default"/>
      </w:rPr>
    </w:lvl>
    <w:lvl w:ilvl="5" w:tentative="0">
      <w:start w:val="0"/>
      <w:numFmt w:val="bullet"/>
      <w:lvlText w:val="•"/>
      <w:lvlJc w:val="left"/>
      <w:pPr>
        <w:ind w:left="5218" w:hanging="720"/>
      </w:pPr>
      <w:rPr>
        <w:rFonts w:hint="default"/>
      </w:rPr>
    </w:lvl>
    <w:lvl w:ilvl="6" w:tentative="0">
      <w:start w:val="0"/>
      <w:numFmt w:val="bullet"/>
      <w:lvlText w:val="•"/>
      <w:lvlJc w:val="left"/>
      <w:pPr>
        <w:ind w:left="6087" w:hanging="720"/>
      </w:pPr>
      <w:rPr>
        <w:rFonts w:hint="default"/>
      </w:rPr>
    </w:lvl>
    <w:lvl w:ilvl="7" w:tentative="0">
      <w:start w:val="0"/>
      <w:numFmt w:val="bullet"/>
      <w:lvlText w:val="•"/>
      <w:lvlJc w:val="left"/>
      <w:pPr>
        <w:ind w:left="6957" w:hanging="720"/>
      </w:pPr>
      <w:rPr>
        <w:rFonts w:hint="default"/>
      </w:rPr>
    </w:lvl>
    <w:lvl w:ilvl="8" w:tentative="0">
      <w:start w:val="0"/>
      <w:numFmt w:val="bullet"/>
      <w:lvlText w:val="•"/>
      <w:lvlJc w:val="left"/>
      <w:pPr>
        <w:ind w:left="7826" w:hanging="720"/>
      </w:pPr>
      <w:rPr>
        <w:rFonts w:hint="default"/>
      </w:rPr>
    </w:lvl>
  </w:abstractNum>
  <w:abstractNum w:abstractNumId="2">
    <w:nsid w:val="BF205925"/>
    <w:multiLevelType w:val="multilevel"/>
    <w:tmpl w:val="BF205925"/>
    <w:lvl w:ilvl="0" w:tentative="0">
      <w:start w:val="5"/>
      <w:numFmt w:val="decimal"/>
      <w:lvlText w:val="%1"/>
      <w:lvlJc w:val="left"/>
      <w:pPr>
        <w:ind w:left="1740" w:hanging="480"/>
      </w:pPr>
      <w:rPr>
        <w:rFonts w:hint="default"/>
      </w:rPr>
    </w:lvl>
    <w:lvl w:ilvl="1" w:tentative="0">
      <w:start w:val="1"/>
      <w:numFmt w:val="decimal"/>
      <w:lvlText w:val="%1.%2"/>
      <w:lvlJc w:val="left"/>
      <w:pPr>
        <w:ind w:left="1740" w:hanging="480"/>
      </w:pPr>
      <w:rPr>
        <w:rFonts w:hint="default" w:ascii="Times New Roman" w:hAnsi="Times New Roman" w:eastAsia="Times New Roman" w:cs="Times New Roman"/>
        <w:spacing w:val="-2"/>
        <w:w w:val="99"/>
        <w:sz w:val="32"/>
        <w:szCs w:val="32"/>
      </w:rPr>
    </w:lvl>
    <w:lvl w:ilvl="2" w:tentative="0">
      <w:start w:val="1"/>
      <w:numFmt w:val="decimal"/>
      <w:lvlText w:val="%1.%2.%3"/>
      <w:lvlJc w:val="left"/>
      <w:pPr>
        <w:ind w:left="620" w:hanging="720"/>
      </w:pPr>
      <w:rPr>
        <w:rFonts w:hint="default" w:ascii="Times New Roman" w:hAnsi="Times New Roman" w:eastAsia="Times New Roman" w:cs="Times New Roman"/>
        <w:spacing w:val="-2"/>
        <w:w w:val="99"/>
        <w:sz w:val="32"/>
        <w:szCs w:val="32"/>
      </w:rPr>
    </w:lvl>
    <w:lvl w:ilvl="3" w:tentative="0">
      <w:start w:val="0"/>
      <w:numFmt w:val="bullet"/>
      <w:lvlText w:val="•"/>
      <w:lvlJc w:val="left"/>
      <w:pPr>
        <w:ind w:left="3479" w:hanging="720"/>
      </w:pPr>
      <w:rPr>
        <w:rFonts w:hint="default"/>
      </w:rPr>
    </w:lvl>
    <w:lvl w:ilvl="4" w:tentative="0">
      <w:start w:val="0"/>
      <w:numFmt w:val="bullet"/>
      <w:lvlText w:val="•"/>
      <w:lvlJc w:val="left"/>
      <w:pPr>
        <w:ind w:left="4348" w:hanging="720"/>
      </w:pPr>
      <w:rPr>
        <w:rFonts w:hint="default"/>
      </w:rPr>
    </w:lvl>
    <w:lvl w:ilvl="5" w:tentative="0">
      <w:start w:val="0"/>
      <w:numFmt w:val="bullet"/>
      <w:lvlText w:val="•"/>
      <w:lvlJc w:val="left"/>
      <w:pPr>
        <w:ind w:left="5218" w:hanging="720"/>
      </w:pPr>
      <w:rPr>
        <w:rFonts w:hint="default"/>
      </w:rPr>
    </w:lvl>
    <w:lvl w:ilvl="6" w:tentative="0">
      <w:start w:val="0"/>
      <w:numFmt w:val="bullet"/>
      <w:lvlText w:val="•"/>
      <w:lvlJc w:val="left"/>
      <w:pPr>
        <w:ind w:left="6087" w:hanging="720"/>
      </w:pPr>
      <w:rPr>
        <w:rFonts w:hint="default"/>
      </w:rPr>
    </w:lvl>
    <w:lvl w:ilvl="7" w:tentative="0">
      <w:start w:val="0"/>
      <w:numFmt w:val="bullet"/>
      <w:lvlText w:val="•"/>
      <w:lvlJc w:val="left"/>
      <w:pPr>
        <w:ind w:left="6957" w:hanging="720"/>
      </w:pPr>
      <w:rPr>
        <w:rFonts w:hint="default"/>
      </w:rPr>
    </w:lvl>
    <w:lvl w:ilvl="8" w:tentative="0">
      <w:start w:val="0"/>
      <w:numFmt w:val="bullet"/>
      <w:lvlText w:val="•"/>
      <w:lvlJc w:val="left"/>
      <w:pPr>
        <w:ind w:left="7826" w:hanging="720"/>
      </w:pPr>
      <w:rPr>
        <w:rFonts w:hint="default"/>
      </w:rPr>
    </w:lvl>
  </w:abstractNum>
  <w:abstractNum w:abstractNumId="3">
    <w:nsid w:val="CF092B84"/>
    <w:multiLevelType w:val="multilevel"/>
    <w:tmpl w:val="CF092B84"/>
    <w:lvl w:ilvl="0" w:tentative="0">
      <w:start w:val="2"/>
      <w:numFmt w:val="decimal"/>
      <w:lvlText w:val="%1"/>
      <w:lvlJc w:val="left"/>
      <w:pPr>
        <w:ind w:left="1740" w:hanging="480"/>
      </w:pPr>
      <w:rPr>
        <w:rFonts w:hint="default"/>
      </w:rPr>
    </w:lvl>
    <w:lvl w:ilvl="1" w:tentative="0">
      <w:start w:val="1"/>
      <w:numFmt w:val="decimal"/>
      <w:lvlText w:val="%1.%2"/>
      <w:lvlJc w:val="left"/>
      <w:pPr>
        <w:ind w:left="1740" w:hanging="480"/>
      </w:pPr>
      <w:rPr>
        <w:rFonts w:hint="default" w:ascii="Times New Roman" w:hAnsi="Times New Roman" w:eastAsia="Times New Roman" w:cs="Times New Roman"/>
        <w:spacing w:val="-1"/>
        <w:w w:val="99"/>
        <w:sz w:val="32"/>
        <w:szCs w:val="32"/>
      </w:rPr>
    </w:lvl>
    <w:lvl w:ilvl="2" w:tentative="0">
      <w:start w:val="0"/>
      <w:numFmt w:val="bullet"/>
      <w:lvlText w:val="•"/>
      <w:lvlJc w:val="left"/>
      <w:pPr>
        <w:ind w:left="3305" w:hanging="480"/>
      </w:pPr>
      <w:rPr>
        <w:rFonts w:hint="default"/>
      </w:rPr>
    </w:lvl>
    <w:lvl w:ilvl="3" w:tentative="0">
      <w:start w:val="0"/>
      <w:numFmt w:val="bullet"/>
      <w:lvlText w:val="•"/>
      <w:lvlJc w:val="left"/>
      <w:pPr>
        <w:ind w:left="4087" w:hanging="480"/>
      </w:pPr>
      <w:rPr>
        <w:rFonts w:hint="default"/>
      </w:rPr>
    </w:lvl>
    <w:lvl w:ilvl="4" w:tentative="0">
      <w:start w:val="0"/>
      <w:numFmt w:val="bullet"/>
      <w:lvlText w:val="•"/>
      <w:lvlJc w:val="left"/>
      <w:pPr>
        <w:ind w:left="4870" w:hanging="480"/>
      </w:pPr>
      <w:rPr>
        <w:rFonts w:hint="default"/>
      </w:rPr>
    </w:lvl>
    <w:lvl w:ilvl="5" w:tentative="0">
      <w:start w:val="0"/>
      <w:numFmt w:val="bullet"/>
      <w:lvlText w:val="•"/>
      <w:lvlJc w:val="left"/>
      <w:pPr>
        <w:ind w:left="5653" w:hanging="480"/>
      </w:pPr>
      <w:rPr>
        <w:rFonts w:hint="default"/>
      </w:rPr>
    </w:lvl>
    <w:lvl w:ilvl="6" w:tentative="0">
      <w:start w:val="0"/>
      <w:numFmt w:val="bullet"/>
      <w:lvlText w:val="•"/>
      <w:lvlJc w:val="left"/>
      <w:pPr>
        <w:ind w:left="6435" w:hanging="480"/>
      </w:pPr>
      <w:rPr>
        <w:rFonts w:hint="default"/>
      </w:rPr>
    </w:lvl>
    <w:lvl w:ilvl="7" w:tentative="0">
      <w:start w:val="0"/>
      <w:numFmt w:val="bullet"/>
      <w:lvlText w:val="•"/>
      <w:lvlJc w:val="left"/>
      <w:pPr>
        <w:ind w:left="7218" w:hanging="480"/>
      </w:pPr>
      <w:rPr>
        <w:rFonts w:hint="default"/>
      </w:rPr>
    </w:lvl>
    <w:lvl w:ilvl="8" w:tentative="0">
      <w:start w:val="0"/>
      <w:numFmt w:val="bullet"/>
      <w:lvlText w:val="•"/>
      <w:lvlJc w:val="left"/>
      <w:pPr>
        <w:ind w:left="8000" w:hanging="480"/>
      </w:pPr>
      <w:rPr>
        <w:rFonts w:hint="default"/>
      </w:rPr>
    </w:lvl>
  </w:abstractNum>
  <w:abstractNum w:abstractNumId="4">
    <w:nsid w:val="0053208E"/>
    <w:multiLevelType w:val="multilevel"/>
    <w:tmpl w:val="0053208E"/>
    <w:lvl w:ilvl="0" w:tentative="0">
      <w:start w:val="1"/>
      <w:numFmt w:val="decimal"/>
      <w:lvlText w:val="%1"/>
      <w:lvlJc w:val="left"/>
      <w:pPr>
        <w:ind w:left="620" w:hanging="480"/>
      </w:pPr>
      <w:rPr>
        <w:rFonts w:hint="default"/>
      </w:rPr>
    </w:lvl>
    <w:lvl w:ilvl="1" w:tentative="0">
      <w:start w:val="1"/>
      <w:numFmt w:val="decimal"/>
      <w:lvlText w:val="%1.%2"/>
      <w:lvlJc w:val="left"/>
      <w:pPr>
        <w:ind w:left="620" w:hanging="480"/>
      </w:pPr>
      <w:rPr>
        <w:rFonts w:hint="default" w:ascii="Times New Roman" w:hAnsi="Times New Roman" w:eastAsia="Times New Roman" w:cs="Times New Roman"/>
        <w:spacing w:val="-1"/>
        <w:w w:val="99"/>
        <w:sz w:val="32"/>
        <w:szCs w:val="32"/>
      </w:rPr>
    </w:lvl>
    <w:lvl w:ilvl="2" w:tentative="0">
      <w:start w:val="1"/>
      <w:numFmt w:val="decimal"/>
      <w:lvlText w:val="%1.%2.%3"/>
      <w:lvlJc w:val="left"/>
      <w:pPr>
        <w:ind w:left="620" w:hanging="720"/>
      </w:pPr>
      <w:rPr>
        <w:rFonts w:hint="default" w:ascii="Times New Roman" w:hAnsi="Times New Roman" w:eastAsia="Times New Roman" w:cs="Times New Roman"/>
        <w:spacing w:val="-1"/>
        <w:w w:val="99"/>
        <w:sz w:val="32"/>
        <w:szCs w:val="32"/>
      </w:rPr>
    </w:lvl>
    <w:lvl w:ilvl="3" w:tentative="0">
      <w:start w:val="0"/>
      <w:numFmt w:val="bullet"/>
      <w:lvlText w:val="•"/>
      <w:lvlJc w:val="left"/>
      <w:pPr>
        <w:ind w:left="3303" w:hanging="720"/>
      </w:pPr>
      <w:rPr>
        <w:rFonts w:hint="default"/>
      </w:rPr>
    </w:lvl>
    <w:lvl w:ilvl="4" w:tentative="0">
      <w:start w:val="0"/>
      <w:numFmt w:val="bullet"/>
      <w:lvlText w:val="•"/>
      <w:lvlJc w:val="left"/>
      <w:pPr>
        <w:ind w:left="4198" w:hanging="720"/>
      </w:pPr>
      <w:rPr>
        <w:rFonts w:hint="default"/>
      </w:rPr>
    </w:lvl>
    <w:lvl w:ilvl="5" w:tentative="0">
      <w:start w:val="0"/>
      <w:numFmt w:val="bullet"/>
      <w:lvlText w:val="•"/>
      <w:lvlJc w:val="left"/>
      <w:pPr>
        <w:ind w:left="5093" w:hanging="720"/>
      </w:pPr>
      <w:rPr>
        <w:rFonts w:hint="default"/>
      </w:rPr>
    </w:lvl>
    <w:lvl w:ilvl="6" w:tentative="0">
      <w:start w:val="0"/>
      <w:numFmt w:val="bullet"/>
      <w:lvlText w:val="•"/>
      <w:lvlJc w:val="left"/>
      <w:pPr>
        <w:ind w:left="5987" w:hanging="720"/>
      </w:pPr>
      <w:rPr>
        <w:rFonts w:hint="default"/>
      </w:rPr>
    </w:lvl>
    <w:lvl w:ilvl="7" w:tentative="0">
      <w:start w:val="0"/>
      <w:numFmt w:val="bullet"/>
      <w:lvlText w:val="•"/>
      <w:lvlJc w:val="left"/>
      <w:pPr>
        <w:ind w:left="6882" w:hanging="720"/>
      </w:pPr>
      <w:rPr>
        <w:rFonts w:hint="default"/>
      </w:rPr>
    </w:lvl>
    <w:lvl w:ilvl="8" w:tentative="0">
      <w:start w:val="0"/>
      <w:numFmt w:val="bullet"/>
      <w:lvlText w:val="•"/>
      <w:lvlJc w:val="left"/>
      <w:pPr>
        <w:ind w:left="7776" w:hanging="720"/>
      </w:pPr>
      <w:rPr>
        <w:rFonts w:hint="default"/>
      </w:rPr>
    </w:lvl>
  </w:abstractNum>
  <w:abstractNum w:abstractNumId="5">
    <w:nsid w:val="0248C179"/>
    <w:multiLevelType w:val="multilevel"/>
    <w:tmpl w:val="0248C179"/>
    <w:lvl w:ilvl="0" w:tentative="0">
      <w:start w:val="8"/>
      <w:numFmt w:val="decimal"/>
      <w:lvlText w:val="%1"/>
      <w:lvlJc w:val="left"/>
      <w:pPr>
        <w:ind w:left="620" w:hanging="485"/>
      </w:pPr>
      <w:rPr>
        <w:rFonts w:hint="default"/>
      </w:rPr>
    </w:lvl>
    <w:lvl w:ilvl="1" w:tentative="0">
      <w:start w:val="1"/>
      <w:numFmt w:val="decimal"/>
      <w:lvlText w:val="%1.%2"/>
      <w:lvlJc w:val="left"/>
      <w:pPr>
        <w:ind w:left="620" w:hanging="485"/>
      </w:pPr>
      <w:rPr>
        <w:rFonts w:hint="default" w:ascii="Times New Roman" w:hAnsi="Times New Roman" w:eastAsia="Times New Roman" w:cs="Times New Roman"/>
        <w:spacing w:val="-2"/>
        <w:w w:val="99"/>
        <w:sz w:val="32"/>
        <w:szCs w:val="32"/>
      </w:rPr>
    </w:lvl>
    <w:lvl w:ilvl="2" w:tentative="0">
      <w:start w:val="0"/>
      <w:numFmt w:val="bullet"/>
      <w:lvlText w:val="•"/>
      <w:lvlJc w:val="left"/>
      <w:pPr>
        <w:ind w:left="2409" w:hanging="485"/>
      </w:pPr>
      <w:rPr>
        <w:rFonts w:hint="default"/>
      </w:rPr>
    </w:lvl>
    <w:lvl w:ilvl="3" w:tentative="0">
      <w:start w:val="0"/>
      <w:numFmt w:val="bullet"/>
      <w:lvlText w:val="•"/>
      <w:lvlJc w:val="left"/>
      <w:pPr>
        <w:ind w:left="3303" w:hanging="485"/>
      </w:pPr>
      <w:rPr>
        <w:rFonts w:hint="default"/>
      </w:rPr>
    </w:lvl>
    <w:lvl w:ilvl="4" w:tentative="0">
      <w:start w:val="0"/>
      <w:numFmt w:val="bullet"/>
      <w:lvlText w:val="•"/>
      <w:lvlJc w:val="left"/>
      <w:pPr>
        <w:ind w:left="4198" w:hanging="485"/>
      </w:pPr>
      <w:rPr>
        <w:rFonts w:hint="default"/>
      </w:rPr>
    </w:lvl>
    <w:lvl w:ilvl="5" w:tentative="0">
      <w:start w:val="0"/>
      <w:numFmt w:val="bullet"/>
      <w:lvlText w:val="•"/>
      <w:lvlJc w:val="left"/>
      <w:pPr>
        <w:ind w:left="5093" w:hanging="485"/>
      </w:pPr>
      <w:rPr>
        <w:rFonts w:hint="default"/>
      </w:rPr>
    </w:lvl>
    <w:lvl w:ilvl="6" w:tentative="0">
      <w:start w:val="0"/>
      <w:numFmt w:val="bullet"/>
      <w:lvlText w:val="•"/>
      <w:lvlJc w:val="left"/>
      <w:pPr>
        <w:ind w:left="5987" w:hanging="485"/>
      </w:pPr>
      <w:rPr>
        <w:rFonts w:hint="default"/>
      </w:rPr>
    </w:lvl>
    <w:lvl w:ilvl="7" w:tentative="0">
      <w:start w:val="0"/>
      <w:numFmt w:val="bullet"/>
      <w:lvlText w:val="•"/>
      <w:lvlJc w:val="left"/>
      <w:pPr>
        <w:ind w:left="6882" w:hanging="485"/>
      </w:pPr>
      <w:rPr>
        <w:rFonts w:hint="default"/>
      </w:rPr>
    </w:lvl>
    <w:lvl w:ilvl="8" w:tentative="0">
      <w:start w:val="0"/>
      <w:numFmt w:val="bullet"/>
      <w:lvlText w:val="•"/>
      <w:lvlJc w:val="left"/>
      <w:pPr>
        <w:ind w:left="7776" w:hanging="485"/>
      </w:pPr>
      <w:rPr>
        <w:rFonts w:hint="default"/>
      </w:rPr>
    </w:lvl>
  </w:abstractNum>
  <w:abstractNum w:abstractNumId="6">
    <w:nsid w:val="03D62ECE"/>
    <w:multiLevelType w:val="multilevel"/>
    <w:tmpl w:val="03D62ECE"/>
    <w:lvl w:ilvl="0" w:tentative="0">
      <w:start w:val="6"/>
      <w:numFmt w:val="decimal"/>
      <w:lvlText w:val="%1"/>
      <w:lvlJc w:val="left"/>
      <w:pPr>
        <w:ind w:left="620" w:hanging="480"/>
      </w:pPr>
      <w:rPr>
        <w:rFonts w:hint="default"/>
      </w:rPr>
    </w:lvl>
    <w:lvl w:ilvl="1" w:tentative="0">
      <w:start w:val="1"/>
      <w:numFmt w:val="decimal"/>
      <w:lvlText w:val="%1.%2"/>
      <w:lvlJc w:val="left"/>
      <w:pPr>
        <w:ind w:left="620" w:hanging="480"/>
      </w:pPr>
      <w:rPr>
        <w:rFonts w:hint="default" w:ascii="Times New Roman" w:hAnsi="Times New Roman" w:eastAsia="Times New Roman" w:cs="Times New Roman"/>
        <w:spacing w:val="-2"/>
        <w:w w:val="99"/>
        <w:sz w:val="32"/>
        <w:szCs w:val="32"/>
      </w:rPr>
    </w:lvl>
    <w:lvl w:ilvl="2" w:tentative="0">
      <w:start w:val="1"/>
      <w:numFmt w:val="decimal"/>
      <w:lvlText w:val="%1.%2.%3"/>
      <w:lvlJc w:val="left"/>
      <w:pPr>
        <w:ind w:left="1260" w:hanging="720"/>
      </w:pPr>
      <w:rPr>
        <w:rFonts w:hint="default" w:ascii="Times New Roman" w:hAnsi="Times New Roman" w:eastAsia="Times New Roman" w:cs="Times New Roman"/>
        <w:spacing w:val="-2"/>
        <w:w w:val="99"/>
        <w:sz w:val="32"/>
        <w:szCs w:val="32"/>
      </w:rPr>
    </w:lvl>
    <w:lvl w:ilvl="3" w:tentative="0">
      <w:start w:val="0"/>
      <w:numFmt w:val="bullet"/>
      <w:lvlText w:val="•"/>
      <w:lvlJc w:val="left"/>
      <w:pPr>
        <w:ind w:left="3105" w:hanging="720"/>
      </w:pPr>
      <w:rPr>
        <w:rFonts w:hint="default"/>
      </w:rPr>
    </w:lvl>
    <w:lvl w:ilvl="4" w:tentative="0">
      <w:start w:val="0"/>
      <w:numFmt w:val="bullet"/>
      <w:lvlText w:val="•"/>
      <w:lvlJc w:val="left"/>
      <w:pPr>
        <w:ind w:left="4028" w:hanging="720"/>
      </w:pPr>
      <w:rPr>
        <w:rFonts w:hint="default"/>
      </w:rPr>
    </w:lvl>
    <w:lvl w:ilvl="5" w:tentative="0">
      <w:start w:val="0"/>
      <w:numFmt w:val="bullet"/>
      <w:lvlText w:val="•"/>
      <w:lvlJc w:val="left"/>
      <w:pPr>
        <w:ind w:left="4951" w:hanging="720"/>
      </w:pPr>
      <w:rPr>
        <w:rFonts w:hint="default"/>
      </w:rPr>
    </w:lvl>
    <w:lvl w:ilvl="6" w:tentative="0">
      <w:start w:val="0"/>
      <w:numFmt w:val="bullet"/>
      <w:lvlText w:val="•"/>
      <w:lvlJc w:val="left"/>
      <w:pPr>
        <w:ind w:left="5874" w:hanging="720"/>
      </w:pPr>
      <w:rPr>
        <w:rFonts w:hint="default"/>
      </w:rPr>
    </w:lvl>
    <w:lvl w:ilvl="7" w:tentative="0">
      <w:start w:val="0"/>
      <w:numFmt w:val="bullet"/>
      <w:lvlText w:val="•"/>
      <w:lvlJc w:val="left"/>
      <w:pPr>
        <w:ind w:left="6797" w:hanging="720"/>
      </w:pPr>
      <w:rPr>
        <w:rFonts w:hint="default"/>
      </w:rPr>
    </w:lvl>
    <w:lvl w:ilvl="8" w:tentative="0">
      <w:start w:val="0"/>
      <w:numFmt w:val="bullet"/>
      <w:lvlText w:val="•"/>
      <w:lvlJc w:val="left"/>
      <w:pPr>
        <w:ind w:left="7720" w:hanging="720"/>
      </w:pPr>
      <w:rPr>
        <w:rFonts w:hint="default"/>
      </w:rPr>
    </w:lvl>
  </w:abstractNum>
  <w:abstractNum w:abstractNumId="7">
    <w:nsid w:val="2A8F537B"/>
    <w:multiLevelType w:val="multilevel"/>
    <w:tmpl w:val="2A8F537B"/>
    <w:lvl w:ilvl="0" w:tentative="0">
      <w:start w:val="11"/>
      <w:numFmt w:val="decimal"/>
      <w:lvlText w:val="%1"/>
      <w:lvlJc w:val="left"/>
      <w:pPr>
        <w:ind w:left="620" w:hanging="624"/>
      </w:pPr>
      <w:rPr>
        <w:rFonts w:hint="default"/>
      </w:rPr>
    </w:lvl>
    <w:lvl w:ilvl="1" w:tentative="0">
      <w:start w:val="1"/>
      <w:numFmt w:val="decimal"/>
      <w:lvlText w:val="%1.%2"/>
      <w:lvlJc w:val="left"/>
      <w:pPr>
        <w:ind w:left="620" w:hanging="624"/>
      </w:pPr>
      <w:rPr>
        <w:rFonts w:hint="default" w:ascii="Times New Roman" w:hAnsi="Times New Roman" w:eastAsia="Times New Roman" w:cs="Times New Roman"/>
        <w:spacing w:val="-2"/>
        <w:w w:val="99"/>
        <w:sz w:val="32"/>
        <w:szCs w:val="32"/>
      </w:rPr>
    </w:lvl>
    <w:lvl w:ilvl="2" w:tentative="0">
      <w:start w:val="0"/>
      <w:numFmt w:val="bullet"/>
      <w:lvlText w:val="•"/>
      <w:lvlJc w:val="left"/>
      <w:pPr>
        <w:ind w:left="2409" w:hanging="624"/>
      </w:pPr>
      <w:rPr>
        <w:rFonts w:hint="default"/>
      </w:rPr>
    </w:lvl>
    <w:lvl w:ilvl="3" w:tentative="0">
      <w:start w:val="0"/>
      <w:numFmt w:val="bullet"/>
      <w:lvlText w:val="•"/>
      <w:lvlJc w:val="left"/>
      <w:pPr>
        <w:ind w:left="3303" w:hanging="624"/>
      </w:pPr>
      <w:rPr>
        <w:rFonts w:hint="default"/>
      </w:rPr>
    </w:lvl>
    <w:lvl w:ilvl="4" w:tentative="0">
      <w:start w:val="0"/>
      <w:numFmt w:val="bullet"/>
      <w:lvlText w:val="•"/>
      <w:lvlJc w:val="left"/>
      <w:pPr>
        <w:ind w:left="4198" w:hanging="624"/>
      </w:pPr>
      <w:rPr>
        <w:rFonts w:hint="default"/>
      </w:rPr>
    </w:lvl>
    <w:lvl w:ilvl="5" w:tentative="0">
      <w:start w:val="0"/>
      <w:numFmt w:val="bullet"/>
      <w:lvlText w:val="•"/>
      <w:lvlJc w:val="left"/>
      <w:pPr>
        <w:ind w:left="5093" w:hanging="624"/>
      </w:pPr>
      <w:rPr>
        <w:rFonts w:hint="default"/>
      </w:rPr>
    </w:lvl>
    <w:lvl w:ilvl="6" w:tentative="0">
      <w:start w:val="0"/>
      <w:numFmt w:val="bullet"/>
      <w:lvlText w:val="•"/>
      <w:lvlJc w:val="left"/>
      <w:pPr>
        <w:ind w:left="5987" w:hanging="624"/>
      </w:pPr>
      <w:rPr>
        <w:rFonts w:hint="default"/>
      </w:rPr>
    </w:lvl>
    <w:lvl w:ilvl="7" w:tentative="0">
      <w:start w:val="0"/>
      <w:numFmt w:val="bullet"/>
      <w:lvlText w:val="•"/>
      <w:lvlJc w:val="left"/>
      <w:pPr>
        <w:ind w:left="6882" w:hanging="624"/>
      </w:pPr>
      <w:rPr>
        <w:rFonts w:hint="default"/>
      </w:rPr>
    </w:lvl>
    <w:lvl w:ilvl="8" w:tentative="0">
      <w:start w:val="0"/>
      <w:numFmt w:val="bullet"/>
      <w:lvlText w:val="•"/>
      <w:lvlJc w:val="left"/>
      <w:pPr>
        <w:ind w:left="7776" w:hanging="624"/>
      </w:pPr>
      <w:rPr>
        <w:rFonts w:hint="default"/>
      </w:rPr>
    </w:lvl>
  </w:abstractNum>
  <w:abstractNum w:abstractNumId="8">
    <w:nsid w:val="59ADCABA"/>
    <w:multiLevelType w:val="multilevel"/>
    <w:tmpl w:val="59ADCABA"/>
    <w:lvl w:ilvl="0" w:tentative="0">
      <w:start w:val="3"/>
      <w:numFmt w:val="decimal"/>
      <w:lvlText w:val="%1"/>
      <w:lvlJc w:val="left"/>
      <w:pPr>
        <w:ind w:left="620" w:hanging="480"/>
      </w:pPr>
      <w:rPr>
        <w:rFonts w:hint="default"/>
      </w:rPr>
    </w:lvl>
    <w:lvl w:ilvl="1" w:tentative="0">
      <w:start w:val="1"/>
      <w:numFmt w:val="decimal"/>
      <w:lvlText w:val="%1.%2"/>
      <w:lvlJc w:val="left"/>
      <w:pPr>
        <w:ind w:left="620" w:hanging="480"/>
      </w:pPr>
      <w:rPr>
        <w:rFonts w:hint="default" w:ascii="Times New Roman" w:hAnsi="Times New Roman" w:eastAsia="Times New Roman" w:cs="Times New Roman"/>
        <w:spacing w:val="-1"/>
        <w:w w:val="99"/>
        <w:sz w:val="32"/>
        <w:szCs w:val="32"/>
      </w:rPr>
    </w:lvl>
    <w:lvl w:ilvl="2" w:tentative="0">
      <w:start w:val="0"/>
      <w:numFmt w:val="bullet"/>
      <w:lvlText w:val="•"/>
      <w:lvlJc w:val="left"/>
      <w:pPr>
        <w:ind w:left="2409" w:hanging="480"/>
      </w:pPr>
      <w:rPr>
        <w:rFonts w:hint="default"/>
      </w:rPr>
    </w:lvl>
    <w:lvl w:ilvl="3" w:tentative="0">
      <w:start w:val="0"/>
      <w:numFmt w:val="bullet"/>
      <w:lvlText w:val="•"/>
      <w:lvlJc w:val="left"/>
      <w:pPr>
        <w:ind w:left="3303" w:hanging="480"/>
      </w:pPr>
      <w:rPr>
        <w:rFonts w:hint="default"/>
      </w:rPr>
    </w:lvl>
    <w:lvl w:ilvl="4" w:tentative="0">
      <w:start w:val="0"/>
      <w:numFmt w:val="bullet"/>
      <w:lvlText w:val="•"/>
      <w:lvlJc w:val="left"/>
      <w:pPr>
        <w:ind w:left="4198" w:hanging="480"/>
      </w:pPr>
      <w:rPr>
        <w:rFonts w:hint="default"/>
      </w:rPr>
    </w:lvl>
    <w:lvl w:ilvl="5" w:tentative="0">
      <w:start w:val="0"/>
      <w:numFmt w:val="bullet"/>
      <w:lvlText w:val="•"/>
      <w:lvlJc w:val="left"/>
      <w:pPr>
        <w:ind w:left="5093" w:hanging="480"/>
      </w:pPr>
      <w:rPr>
        <w:rFonts w:hint="default"/>
      </w:rPr>
    </w:lvl>
    <w:lvl w:ilvl="6" w:tentative="0">
      <w:start w:val="0"/>
      <w:numFmt w:val="bullet"/>
      <w:lvlText w:val="•"/>
      <w:lvlJc w:val="left"/>
      <w:pPr>
        <w:ind w:left="5987" w:hanging="480"/>
      </w:pPr>
      <w:rPr>
        <w:rFonts w:hint="default"/>
      </w:rPr>
    </w:lvl>
    <w:lvl w:ilvl="7" w:tentative="0">
      <w:start w:val="0"/>
      <w:numFmt w:val="bullet"/>
      <w:lvlText w:val="•"/>
      <w:lvlJc w:val="left"/>
      <w:pPr>
        <w:ind w:left="6882" w:hanging="480"/>
      </w:pPr>
      <w:rPr>
        <w:rFonts w:hint="default"/>
      </w:rPr>
    </w:lvl>
    <w:lvl w:ilvl="8" w:tentative="0">
      <w:start w:val="0"/>
      <w:numFmt w:val="bullet"/>
      <w:lvlText w:val="•"/>
      <w:lvlJc w:val="left"/>
      <w:pPr>
        <w:ind w:left="7776" w:hanging="480"/>
      </w:pPr>
      <w:rPr>
        <w:rFonts w:hint="default"/>
      </w:rPr>
    </w:lvl>
  </w:abstractNum>
  <w:abstractNum w:abstractNumId="9">
    <w:nsid w:val="72183CF9"/>
    <w:multiLevelType w:val="multilevel"/>
    <w:tmpl w:val="72183CF9"/>
    <w:lvl w:ilvl="0" w:tentative="0">
      <w:start w:val="7"/>
      <w:numFmt w:val="decimal"/>
      <w:lvlText w:val="%1"/>
      <w:lvlJc w:val="left"/>
      <w:pPr>
        <w:ind w:left="620" w:hanging="485"/>
      </w:pPr>
      <w:rPr>
        <w:rFonts w:hint="default"/>
      </w:rPr>
    </w:lvl>
    <w:lvl w:ilvl="1" w:tentative="0">
      <w:start w:val="1"/>
      <w:numFmt w:val="decimal"/>
      <w:lvlText w:val="%1.%2"/>
      <w:lvlJc w:val="left"/>
      <w:pPr>
        <w:ind w:left="620" w:hanging="485"/>
      </w:pPr>
      <w:rPr>
        <w:rFonts w:hint="default" w:ascii="Times New Roman" w:hAnsi="Times New Roman" w:eastAsia="Times New Roman" w:cs="Times New Roman"/>
        <w:spacing w:val="-2"/>
        <w:w w:val="99"/>
        <w:sz w:val="32"/>
        <w:szCs w:val="32"/>
      </w:rPr>
    </w:lvl>
    <w:lvl w:ilvl="2" w:tentative="0">
      <w:start w:val="0"/>
      <w:numFmt w:val="bullet"/>
      <w:lvlText w:val="•"/>
      <w:lvlJc w:val="left"/>
      <w:pPr>
        <w:ind w:left="2409" w:hanging="485"/>
      </w:pPr>
      <w:rPr>
        <w:rFonts w:hint="default"/>
      </w:rPr>
    </w:lvl>
    <w:lvl w:ilvl="3" w:tentative="0">
      <w:start w:val="0"/>
      <w:numFmt w:val="bullet"/>
      <w:lvlText w:val="•"/>
      <w:lvlJc w:val="left"/>
      <w:pPr>
        <w:ind w:left="3303" w:hanging="485"/>
      </w:pPr>
      <w:rPr>
        <w:rFonts w:hint="default"/>
      </w:rPr>
    </w:lvl>
    <w:lvl w:ilvl="4" w:tentative="0">
      <w:start w:val="0"/>
      <w:numFmt w:val="bullet"/>
      <w:lvlText w:val="•"/>
      <w:lvlJc w:val="left"/>
      <w:pPr>
        <w:ind w:left="4198" w:hanging="485"/>
      </w:pPr>
      <w:rPr>
        <w:rFonts w:hint="default"/>
      </w:rPr>
    </w:lvl>
    <w:lvl w:ilvl="5" w:tentative="0">
      <w:start w:val="0"/>
      <w:numFmt w:val="bullet"/>
      <w:lvlText w:val="•"/>
      <w:lvlJc w:val="left"/>
      <w:pPr>
        <w:ind w:left="5093" w:hanging="485"/>
      </w:pPr>
      <w:rPr>
        <w:rFonts w:hint="default"/>
      </w:rPr>
    </w:lvl>
    <w:lvl w:ilvl="6" w:tentative="0">
      <w:start w:val="0"/>
      <w:numFmt w:val="bullet"/>
      <w:lvlText w:val="•"/>
      <w:lvlJc w:val="left"/>
      <w:pPr>
        <w:ind w:left="5987" w:hanging="485"/>
      </w:pPr>
      <w:rPr>
        <w:rFonts w:hint="default"/>
      </w:rPr>
    </w:lvl>
    <w:lvl w:ilvl="7" w:tentative="0">
      <w:start w:val="0"/>
      <w:numFmt w:val="bullet"/>
      <w:lvlText w:val="•"/>
      <w:lvlJc w:val="left"/>
      <w:pPr>
        <w:ind w:left="6882" w:hanging="485"/>
      </w:pPr>
      <w:rPr>
        <w:rFonts w:hint="default"/>
      </w:rPr>
    </w:lvl>
    <w:lvl w:ilvl="8" w:tentative="0">
      <w:start w:val="0"/>
      <w:numFmt w:val="bullet"/>
      <w:lvlText w:val="•"/>
      <w:lvlJc w:val="left"/>
      <w:pPr>
        <w:ind w:left="7776" w:hanging="485"/>
      </w:pPr>
      <w:rPr>
        <w:rFonts w:hint="default"/>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9"/>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TUzMGVlOTYzMmFiZGRjOWQ4NmE5ODkwMTA4YzUifQ=="/>
  </w:docVars>
  <w:rsids>
    <w:rsidRoot w:val="001264B5"/>
    <w:rsid w:val="00052CD3"/>
    <w:rsid w:val="00082DAC"/>
    <w:rsid w:val="000B5B49"/>
    <w:rsid w:val="001264B5"/>
    <w:rsid w:val="00242BFA"/>
    <w:rsid w:val="0025776C"/>
    <w:rsid w:val="00341634"/>
    <w:rsid w:val="003B6CFC"/>
    <w:rsid w:val="004C53FD"/>
    <w:rsid w:val="00504387"/>
    <w:rsid w:val="00594B7F"/>
    <w:rsid w:val="00600513"/>
    <w:rsid w:val="00744A8A"/>
    <w:rsid w:val="00815E44"/>
    <w:rsid w:val="008715FD"/>
    <w:rsid w:val="009A1A4C"/>
    <w:rsid w:val="00A16934"/>
    <w:rsid w:val="00B76CF8"/>
    <w:rsid w:val="00D12BAB"/>
    <w:rsid w:val="00EB01B0"/>
    <w:rsid w:val="00F1015C"/>
    <w:rsid w:val="00F16988"/>
    <w:rsid w:val="03E642CE"/>
    <w:rsid w:val="043C0FE4"/>
    <w:rsid w:val="052F3EFD"/>
    <w:rsid w:val="05706B86"/>
    <w:rsid w:val="05942C96"/>
    <w:rsid w:val="066714A1"/>
    <w:rsid w:val="06E1102E"/>
    <w:rsid w:val="08AB556B"/>
    <w:rsid w:val="08B57B62"/>
    <w:rsid w:val="090034C7"/>
    <w:rsid w:val="092E5CF9"/>
    <w:rsid w:val="09FC69F6"/>
    <w:rsid w:val="0A2A19F9"/>
    <w:rsid w:val="0A334A13"/>
    <w:rsid w:val="0AFA6021"/>
    <w:rsid w:val="0B393CEF"/>
    <w:rsid w:val="0B696CC5"/>
    <w:rsid w:val="0C70681F"/>
    <w:rsid w:val="0CAB1753"/>
    <w:rsid w:val="0CFC39D9"/>
    <w:rsid w:val="0D457F71"/>
    <w:rsid w:val="0D8E3505"/>
    <w:rsid w:val="0D96398C"/>
    <w:rsid w:val="0D9D02D0"/>
    <w:rsid w:val="0E3F462F"/>
    <w:rsid w:val="0E5A3209"/>
    <w:rsid w:val="0F2E73C9"/>
    <w:rsid w:val="0F5B2D09"/>
    <w:rsid w:val="0F5F3CBB"/>
    <w:rsid w:val="10031176"/>
    <w:rsid w:val="103D7DF8"/>
    <w:rsid w:val="10C22A24"/>
    <w:rsid w:val="11196E0C"/>
    <w:rsid w:val="11254C58"/>
    <w:rsid w:val="11C1665E"/>
    <w:rsid w:val="11D8010F"/>
    <w:rsid w:val="11F81493"/>
    <w:rsid w:val="12B80E1F"/>
    <w:rsid w:val="12CF1677"/>
    <w:rsid w:val="135E2714"/>
    <w:rsid w:val="139A058E"/>
    <w:rsid w:val="13BF7370"/>
    <w:rsid w:val="13D3382A"/>
    <w:rsid w:val="13D931FC"/>
    <w:rsid w:val="14E749C0"/>
    <w:rsid w:val="15440749"/>
    <w:rsid w:val="15CC2E4E"/>
    <w:rsid w:val="177D1581"/>
    <w:rsid w:val="187D363C"/>
    <w:rsid w:val="189C5570"/>
    <w:rsid w:val="19571AE0"/>
    <w:rsid w:val="19804A29"/>
    <w:rsid w:val="19952C2B"/>
    <w:rsid w:val="1A051B3B"/>
    <w:rsid w:val="1A930E35"/>
    <w:rsid w:val="1AC63078"/>
    <w:rsid w:val="1BD84C83"/>
    <w:rsid w:val="1BD900A2"/>
    <w:rsid w:val="1C284714"/>
    <w:rsid w:val="1C575E1E"/>
    <w:rsid w:val="1C683E29"/>
    <w:rsid w:val="1CD00BDB"/>
    <w:rsid w:val="1D315C30"/>
    <w:rsid w:val="1D632829"/>
    <w:rsid w:val="1D8300FF"/>
    <w:rsid w:val="1E1414B2"/>
    <w:rsid w:val="1E9163CE"/>
    <w:rsid w:val="1EBE3FC2"/>
    <w:rsid w:val="1F32092E"/>
    <w:rsid w:val="1F624F29"/>
    <w:rsid w:val="1F7E625A"/>
    <w:rsid w:val="1F8C0C52"/>
    <w:rsid w:val="20633767"/>
    <w:rsid w:val="216D6282"/>
    <w:rsid w:val="21770AA7"/>
    <w:rsid w:val="224B3375"/>
    <w:rsid w:val="2288428D"/>
    <w:rsid w:val="230B325A"/>
    <w:rsid w:val="23144443"/>
    <w:rsid w:val="236461C9"/>
    <w:rsid w:val="24BA1E45"/>
    <w:rsid w:val="24BA7273"/>
    <w:rsid w:val="266824A5"/>
    <w:rsid w:val="267B6CA0"/>
    <w:rsid w:val="27020B1C"/>
    <w:rsid w:val="27B26C16"/>
    <w:rsid w:val="27E97271"/>
    <w:rsid w:val="28370185"/>
    <w:rsid w:val="290A6F97"/>
    <w:rsid w:val="29EF6EC5"/>
    <w:rsid w:val="2A2E25AF"/>
    <w:rsid w:val="2ADC663F"/>
    <w:rsid w:val="2B4E1CE9"/>
    <w:rsid w:val="2BFC6178"/>
    <w:rsid w:val="2C1358A5"/>
    <w:rsid w:val="2DE446F7"/>
    <w:rsid w:val="2E48111D"/>
    <w:rsid w:val="2E83409C"/>
    <w:rsid w:val="2ED65A6A"/>
    <w:rsid w:val="2F3852A5"/>
    <w:rsid w:val="30540BCD"/>
    <w:rsid w:val="316A1669"/>
    <w:rsid w:val="31802018"/>
    <w:rsid w:val="31C411E8"/>
    <w:rsid w:val="32154C34"/>
    <w:rsid w:val="32691919"/>
    <w:rsid w:val="329E4569"/>
    <w:rsid w:val="32A24CB3"/>
    <w:rsid w:val="334F51DC"/>
    <w:rsid w:val="33807848"/>
    <w:rsid w:val="34BE554F"/>
    <w:rsid w:val="350E750F"/>
    <w:rsid w:val="35937EB1"/>
    <w:rsid w:val="365C341E"/>
    <w:rsid w:val="36A42931"/>
    <w:rsid w:val="36FF63BF"/>
    <w:rsid w:val="380443FC"/>
    <w:rsid w:val="38276326"/>
    <w:rsid w:val="38935723"/>
    <w:rsid w:val="38B32B54"/>
    <w:rsid w:val="39BD19D7"/>
    <w:rsid w:val="39D93139"/>
    <w:rsid w:val="3A4045ED"/>
    <w:rsid w:val="3A4A59AF"/>
    <w:rsid w:val="3AA1785D"/>
    <w:rsid w:val="3AEE7B19"/>
    <w:rsid w:val="3AF1452A"/>
    <w:rsid w:val="3CC3739E"/>
    <w:rsid w:val="3CF313C4"/>
    <w:rsid w:val="3D397F74"/>
    <w:rsid w:val="3D547773"/>
    <w:rsid w:val="3E003D1A"/>
    <w:rsid w:val="3E417F71"/>
    <w:rsid w:val="3E484386"/>
    <w:rsid w:val="3E5E3300"/>
    <w:rsid w:val="3EE26944"/>
    <w:rsid w:val="3F624944"/>
    <w:rsid w:val="3FB0084F"/>
    <w:rsid w:val="3FB55016"/>
    <w:rsid w:val="415369C4"/>
    <w:rsid w:val="43240A87"/>
    <w:rsid w:val="437444AE"/>
    <w:rsid w:val="44526434"/>
    <w:rsid w:val="4459610D"/>
    <w:rsid w:val="44732E0F"/>
    <w:rsid w:val="44AA44B4"/>
    <w:rsid w:val="44F0077B"/>
    <w:rsid w:val="46E92F8A"/>
    <w:rsid w:val="477517FF"/>
    <w:rsid w:val="47A1434C"/>
    <w:rsid w:val="47C107F2"/>
    <w:rsid w:val="47D261EE"/>
    <w:rsid w:val="480E3A27"/>
    <w:rsid w:val="48455675"/>
    <w:rsid w:val="4919097E"/>
    <w:rsid w:val="49EF3883"/>
    <w:rsid w:val="4B7E78FC"/>
    <w:rsid w:val="4B8C0548"/>
    <w:rsid w:val="4B993FB3"/>
    <w:rsid w:val="4BEB5EB8"/>
    <w:rsid w:val="4DDB7E00"/>
    <w:rsid w:val="4DE75632"/>
    <w:rsid w:val="4E0E6A91"/>
    <w:rsid w:val="4E9E4ABB"/>
    <w:rsid w:val="50516245"/>
    <w:rsid w:val="50703089"/>
    <w:rsid w:val="50AC3702"/>
    <w:rsid w:val="51784816"/>
    <w:rsid w:val="524E0D61"/>
    <w:rsid w:val="52E570CE"/>
    <w:rsid w:val="539D360E"/>
    <w:rsid w:val="53D24726"/>
    <w:rsid w:val="54106AE7"/>
    <w:rsid w:val="560C3470"/>
    <w:rsid w:val="5616043A"/>
    <w:rsid w:val="56D67531"/>
    <w:rsid w:val="57296526"/>
    <w:rsid w:val="57FF3D62"/>
    <w:rsid w:val="58CA5C79"/>
    <w:rsid w:val="5941208A"/>
    <w:rsid w:val="59612269"/>
    <w:rsid w:val="5A7F02DD"/>
    <w:rsid w:val="5AA32E1A"/>
    <w:rsid w:val="5ABE4983"/>
    <w:rsid w:val="5ABF7F0E"/>
    <w:rsid w:val="5B211177"/>
    <w:rsid w:val="5B736C0D"/>
    <w:rsid w:val="5C856E6F"/>
    <w:rsid w:val="5C986A4D"/>
    <w:rsid w:val="5CE10C1D"/>
    <w:rsid w:val="5CE7532D"/>
    <w:rsid w:val="5D482003"/>
    <w:rsid w:val="5DC1327F"/>
    <w:rsid w:val="5E575C04"/>
    <w:rsid w:val="5E78278E"/>
    <w:rsid w:val="606209A1"/>
    <w:rsid w:val="60642870"/>
    <w:rsid w:val="615C4ED5"/>
    <w:rsid w:val="62E30367"/>
    <w:rsid w:val="632576A5"/>
    <w:rsid w:val="63992C32"/>
    <w:rsid w:val="640852D7"/>
    <w:rsid w:val="645613C8"/>
    <w:rsid w:val="647C13B9"/>
    <w:rsid w:val="648447B9"/>
    <w:rsid w:val="64E84DD9"/>
    <w:rsid w:val="65262AA7"/>
    <w:rsid w:val="653B5747"/>
    <w:rsid w:val="65AA2E2F"/>
    <w:rsid w:val="6656661C"/>
    <w:rsid w:val="66763171"/>
    <w:rsid w:val="674C4E21"/>
    <w:rsid w:val="677A7064"/>
    <w:rsid w:val="677E7274"/>
    <w:rsid w:val="679C6C08"/>
    <w:rsid w:val="67C950A4"/>
    <w:rsid w:val="68362CC2"/>
    <w:rsid w:val="69690D6B"/>
    <w:rsid w:val="697E2C30"/>
    <w:rsid w:val="69FC7C1A"/>
    <w:rsid w:val="6B403D4E"/>
    <w:rsid w:val="6B4115F4"/>
    <w:rsid w:val="6BFD3C10"/>
    <w:rsid w:val="6D9A5DD2"/>
    <w:rsid w:val="6D9D5095"/>
    <w:rsid w:val="6EEB6702"/>
    <w:rsid w:val="6F477092"/>
    <w:rsid w:val="6F5F458E"/>
    <w:rsid w:val="70142A06"/>
    <w:rsid w:val="70C62B97"/>
    <w:rsid w:val="71080390"/>
    <w:rsid w:val="715E577E"/>
    <w:rsid w:val="718A24D9"/>
    <w:rsid w:val="722014D7"/>
    <w:rsid w:val="723F65A9"/>
    <w:rsid w:val="7289198C"/>
    <w:rsid w:val="72FB19FC"/>
    <w:rsid w:val="730D7BA9"/>
    <w:rsid w:val="731451A3"/>
    <w:rsid w:val="73634A7D"/>
    <w:rsid w:val="738D6681"/>
    <w:rsid w:val="73DC29A8"/>
    <w:rsid w:val="73F90F2F"/>
    <w:rsid w:val="74305F9A"/>
    <w:rsid w:val="74A903D1"/>
    <w:rsid w:val="75556588"/>
    <w:rsid w:val="76013D8B"/>
    <w:rsid w:val="764D3F70"/>
    <w:rsid w:val="766C78C1"/>
    <w:rsid w:val="779F30DD"/>
    <w:rsid w:val="7989413D"/>
    <w:rsid w:val="798A2A00"/>
    <w:rsid w:val="7A6E7EAF"/>
    <w:rsid w:val="7AD76F8C"/>
    <w:rsid w:val="7C090318"/>
    <w:rsid w:val="7C5F3D53"/>
    <w:rsid w:val="7CA04EFA"/>
    <w:rsid w:val="7CAA3D29"/>
    <w:rsid w:val="7D217D32"/>
    <w:rsid w:val="7D873199"/>
    <w:rsid w:val="7E6B49C3"/>
    <w:rsid w:val="7FAD02D2"/>
    <w:rsid w:val="7FCD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spacing w:before="36"/>
      <w:ind w:left="620"/>
      <w:outlineLvl w:val="0"/>
    </w:pPr>
    <w:rPr>
      <w:sz w:val="36"/>
      <w:szCs w:val="36"/>
    </w:rPr>
  </w:style>
  <w:style w:type="paragraph" w:styleId="4">
    <w:name w:val="heading 2"/>
    <w:basedOn w:val="1"/>
    <w:next w:val="1"/>
    <w:qFormat/>
    <w:uiPriority w:val="1"/>
    <w:pPr>
      <w:spacing w:line="394" w:lineRule="exact"/>
      <w:ind w:left="3488"/>
      <w:outlineLvl w:val="1"/>
    </w:pPr>
    <w:rPr>
      <w:rFonts w:ascii="黑体" w:hAnsi="黑体" w:eastAsia="黑体" w:cs="黑体"/>
      <w:b/>
      <w:bCs/>
      <w:sz w:val="32"/>
      <w:szCs w:val="32"/>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目录 21"/>
    <w:basedOn w:val="1"/>
    <w:next w:val="1"/>
    <w:qFormat/>
    <w:uiPriority w:val="0"/>
    <w:pPr>
      <w:spacing w:before="100" w:beforeAutospacing="1" w:after="100" w:afterAutospacing="1"/>
      <w:ind w:left="420" w:leftChars="200"/>
    </w:pPr>
  </w:style>
  <w:style w:type="paragraph" w:styleId="5">
    <w:name w:val="Body Text"/>
    <w:basedOn w:val="1"/>
    <w:qFormat/>
    <w:uiPriority w:val="1"/>
    <w:pPr>
      <w:ind w:left="620"/>
    </w:pPr>
    <w:rPr>
      <w:sz w:val="32"/>
      <w:szCs w:val="32"/>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1">
    <w:name w:val="Table Normal"/>
    <w:unhideWhenUsed/>
    <w:qFormat/>
    <w:uiPriority w:val="2"/>
    <w:tblPr>
      <w:tblLayout w:type="fixed"/>
      <w:tblCellMar>
        <w:top w:w="0" w:type="dxa"/>
        <w:left w:w="0" w:type="dxa"/>
        <w:bottom w:w="0" w:type="dxa"/>
        <w:right w:w="0" w:type="dxa"/>
      </w:tblCellMar>
    </w:tblPr>
  </w:style>
  <w:style w:type="paragraph" w:customStyle="1" w:styleId="12">
    <w:name w:val="List Paragraph"/>
    <w:basedOn w:val="1"/>
    <w:qFormat/>
    <w:uiPriority w:val="1"/>
    <w:pPr>
      <w:ind w:left="620" w:firstLine="640"/>
    </w:pPr>
  </w:style>
  <w:style w:type="paragraph" w:customStyle="1" w:styleId="13">
    <w:name w:val="Table Paragraph"/>
    <w:basedOn w:val="1"/>
    <w:qFormat/>
    <w:uiPriority w:val="1"/>
  </w:style>
  <w:style w:type="character" w:customStyle="1" w:styleId="14">
    <w:name w:val="页脚 Char"/>
    <w:basedOn w:val="8"/>
    <w:link w:val="6"/>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1428</Words>
  <Characters>8141</Characters>
  <Lines>67</Lines>
  <Paragraphs>19</Paragraphs>
  <ScaleCrop>false</ScaleCrop>
  <LinksUpToDate>false</LinksUpToDate>
  <CharactersWithSpaces>9550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2022-11-15T07:49:00Z</dcterms:created>
  <dc:creator>李凯欣</dc:creator>
  <cp:lastModifiedBy>lenovo</cp:lastModifiedBy>
  <cp:lastPrinted>2022-12-06T05:13:28Z</cp:lastPrinted>
  <dcterms:modified xsi:type="dcterms:W3CDTF">2022-12-06T06:29:34Z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WPS 文字</vt:lpwstr>
  </property>
  <property fmtid="{D5CDD505-2E9C-101B-9397-08002B2CF9AE}" pid="4" name="LastSaved">
    <vt:filetime>2022-10-28T00:00:00Z</vt:filetime>
  </property>
  <property fmtid="{D5CDD505-2E9C-101B-9397-08002B2CF9AE}" pid="5" name="KSOProductBuildVer">
    <vt:lpwstr>2052-10.8.0.6206</vt:lpwstr>
  </property>
  <property fmtid="{D5CDD505-2E9C-101B-9397-08002B2CF9AE}" pid="6" name="ICV">
    <vt:lpwstr>BB787C54ACB24A069461A5B0EBD1E4C8</vt:lpwstr>
  </property>
</Properties>
</file>