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火炬园C、D座12台电梯增加呼梯群控功能项目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sz w:val="28"/>
          <w:szCs w:val="28"/>
          <w:lang w:val="en-US" w:eastAsia="zh-CN"/>
        </w:rPr>
      </w:pPr>
      <w:r>
        <w:rPr>
          <w:rFonts w:hint="eastAsia" w:asciiTheme="majorEastAsia" w:hAnsiTheme="majorEastAsia" w:eastAsiaTheme="majorEastAsia" w:cstheme="majorEastAsia"/>
          <w:b/>
          <w:bCs/>
          <w:sz w:val="36"/>
          <w:szCs w:val="36"/>
          <w:lang w:val="en-US" w:eastAsia="zh-CN"/>
        </w:rPr>
        <w:t>(工程施工单位选取)询价公告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佛山火炬创新创业园有限公司就“火炬园C、D座12台电梯增加呼梯群控功能项目(工程施工单位选取)”</w:t>
      </w:r>
      <w:r>
        <w:rPr>
          <w:rFonts w:hint="eastAsia" w:asciiTheme="minorEastAsia" w:hAnsiTheme="minorEastAsia" w:cstheme="minorEastAsia"/>
          <w:sz w:val="28"/>
          <w:szCs w:val="28"/>
          <w:u w:val="none"/>
          <w:lang w:val="en-US" w:eastAsia="zh-CN"/>
        </w:rPr>
        <w:t>遴选施工单位，</w:t>
      </w:r>
      <w:r>
        <w:rPr>
          <w:rFonts w:hint="eastAsia" w:asciiTheme="minorEastAsia" w:hAnsiTheme="minorEastAsia" w:cstheme="minorEastAsia"/>
          <w:sz w:val="28"/>
          <w:szCs w:val="28"/>
          <w:lang w:val="en-US" w:eastAsia="zh-CN"/>
        </w:rPr>
        <w:t>欢迎各符合项目要求的单位参与报价。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1、本项目为火炬园C、D座12台电梯增加呼梯群控功能项目(工程施工单位选取)。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2、对火炬园C、D座12台有机房电梯设备的呼梯控制功能进行技改升级，根据 电梯的实际安装分布情况，通过技术改造，实现并联/群控功能。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二、报价及要求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sz w:val="28"/>
          <w:szCs w:val="28"/>
          <w:lang w:val="en-US" w:eastAsia="zh-CN"/>
        </w:rPr>
        <w:t xml:space="preserve"> 1.本项目最高限价：8.4万元，项目报价为固定总价，根据工程报价清单进行报价。</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2.本项目费用包括施工及验收等产生的费用。报价人需按采购方提供的“报价及承诺函”及“工程量清单”格式进行报价。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3.报价人应具备电梯安装、维修资质和特种设备（电梯类）生产许可证。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4.合同工期：自合同签订之日起，50个日历日内完成竣工验收。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5.付款方式：不设预付款，项目竣工验收合格，确定工程项目最终结算金额30天内，支付到最终结算总金额的97%；剩余3%为质保金，保质期满后，如无发生扣款，则在收到乙方请款申请的30天内一次性无息付清。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lang w:val="en-US" w:eastAsia="zh-CN"/>
        </w:rPr>
        <w:t>6.质量要求：符合国家、省或行业现行的工程建设质量验收标准及规范，须达到</w:t>
      </w:r>
      <w:r>
        <w:rPr>
          <w:rFonts w:hint="eastAsia" w:asciiTheme="minorEastAsia" w:hAnsiTheme="minorEastAsia" w:cstheme="minorEastAsia"/>
          <w:sz w:val="28"/>
          <w:szCs w:val="28"/>
          <w:u w:val="single"/>
          <w:lang w:val="en-US" w:eastAsia="zh-CN"/>
        </w:rPr>
        <w:t>合格或以上</w:t>
      </w:r>
      <w:r>
        <w:rPr>
          <w:rFonts w:hint="eastAsia" w:asciiTheme="minorEastAsia" w:hAnsiTheme="minorEastAsia" w:cstheme="minorEastAsia"/>
          <w:sz w:val="28"/>
          <w:szCs w:val="28"/>
          <w:u w:val="none"/>
          <w:lang w:val="en-US" w:eastAsia="zh-CN"/>
        </w:rPr>
        <w:t>验收标准。本项目安装及装修装饰工程质保期为一年，其他项目保修期参照生产厂家保修期限。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7.</w:t>
      </w:r>
      <w:r>
        <w:rPr>
          <w:rFonts w:hint="eastAsia" w:asciiTheme="minorEastAsia" w:hAnsiTheme="minorEastAsia" w:cstheme="minorEastAsia"/>
          <w:sz w:val="28"/>
          <w:szCs w:val="28"/>
          <w:lang w:val="en-US" w:eastAsia="zh-CN"/>
        </w:rPr>
        <w:t>报价时递交的资料应包含：公司营业执照、资质证书、安全生产许可证、报价及承诺函和报价清单。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1.盖章要求：公司营业执照、资质证书、安全生产许可证、报价及承诺函、工程报价清单等均需加盖公司章。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2.密封要求，以上资料均应用档案袋封装黏贴密封条，并在封口处加盖公章。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1.不按本要求函第二点报价要求递交报价资料的。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递交报价文件的时间：2021年   月   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联系人：洪生、谢生：0757—82582347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0" w:firstLineChars="15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600" w:firstLineChars="20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招标工作小组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2021年   月   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8"/>
          <w:szCs w:val="28"/>
          <w:lang w:val="en-US" w:eastAsia="zh-CN"/>
        </w:rPr>
        <w:sectPr>
          <w:pgSz w:w="11906" w:h="16838"/>
          <w:pgMar w:top="1440" w:right="1800" w:bottom="1440" w:left="1800" w:header="851" w:footer="992" w:gutter="0"/>
          <w:cols w:space="425" w:num="1"/>
          <w:docGrid w:type="lines" w:linePitch="312" w:charSpace="0"/>
        </w:sect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eastAsia"/>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我方对本项目所报总价（含税）为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完全认可贵司对该项目施工单位的选择结果，同时清楚理解到仅凭报价或单一竞争优势并非是决定服务资格的唯一依据。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p/>
    <w:p/>
    <w:p>
      <w:pPr>
        <w:ind w:firstLine="3373" w:firstLineChars="1200"/>
        <w:rPr>
          <w:rFonts w:hint="eastAsia" w:eastAsia="宋体"/>
          <w:b/>
          <w:bCs/>
          <w:sz w:val="28"/>
          <w:szCs w:val="28"/>
          <w:lang w:val="en-US" w:eastAsia="zh-CN"/>
        </w:rPr>
      </w:pPr>
      <w:r>
        <w:rPr>
          <w:rFonts w:hint="eastAsia"/>
          <w:b/>
          <w:bCs/>
          <w:sz w:val="28"/>
          <w:szCs w:val="28"/>
          <w:lang w:val="en-US" w:eastAsia="zh-CN"/>
        </w:rPr>
        <w:t>工 程 报 价 清 单</w:t>
      </w:r>
    </w:p>
    <w:p/>
    <w:tbl>
      <w:tblPr>
        <w:tblStyle w:val="2"/>
        <w:tblW w:w="8647" w:type="dxa"/>
        <w:tblInd w:w="108" w:type="dxa"/>
        <w:tblLayout w:type="fixed"/>
        <w:tblCellMar>
          <w:top w:w="0" w:type="dxa"/>
          <w:left w:w="108" w:type="dxa"/>
          <w:bottom w:w="0" w:type="dxa"/>
          <w:right w:w="108" w:type="dxa"/>
        </w:tblCellMar>
      </w:tblPr>
      <w:tblGrid>
        <w:gridCol w:w="709"/>
        <w:gridCol w:w="2126"/>
        <w:gridCol w:w="1134"/>
        <w:gridCol w:w="851"/>
        <w:gridCol w:w="850"/>
        <w:gridCol w:w="1276"/>
        <w:gridCol w:w="1701"/>
      </w:tblGrid>
      <w:tr>
        <w:tblPrEx>
          <w:tblCellMar>
            <w:top w:w="0" w:type="dxa"/>
            <w:left w:w="108" w:type="dxa"/>
            <w:bottom w:w="0" w:type="dxa"/>
            <w:right w:w="108" w:type="dxa"/>
          </w:tblCellMar>
        </w:tblPrEx>
        <w:trPr>
          <w:trHeight w:val="531" w:hRule="atLeast"/>
        </w:trPr>
        <w:tc>
          <w:tcPr>
            <w:tcW w:w="709" w:type="dxa"/>
            <w:tcBorders>
              <w:top w:val="single" w:color="auto" w:sz="8" w:space="0"/>
              <w:left w:val="single" w:color="auto" w:sz="8" w:space="0"/>
              <w:bottom w:val="single" w:color="auto" w:sz="8" w:space="0"/>
              <w:right w:val="single" w:color="auto" w:sz="8" w:space="0"/>
            </w:tcBorders>
            <w:shd w:val="clear" w:color="000000" w:fill="002060"/>
            <w:vAlign w:val="center"/>
          </w:tcPr>
          <w:p>
            <w:pPr>
              <w:widowControl/>
              <w:jc w:val="center"/>
              <w:rPr>
                <w:rFonts w:ascii="黑体" w:hAnsi="黑体" w:eastAsia="黑体" w:cs="宋体"/>
                <w:color w:val="auto"/>
                <w:kern w:val="0"/>
                <w:sz w:val="18"/>
                <w:szCs w:val="18"/>
                <w:shd w:val="clear" w:color="auto" w:fill="auto"/>
              </w:rPr>
            </w:pPr>
            <w:r>
              <w:rPr>
                <w:rFonts w:hint="eastAsia" w:ascii="黑体" w:hAnsi="黑体" w:eastAsia="黑体" w:cs="宋体"/>
                <w:color w:val="auto"/>
                <w:kern w:val="0"/>
                <w:sz w:val="18"/>
                <w:szCs w:val="18"/>
                <w:shd w:val="clear" w:color="auto" w:fill="auto"/>
              </w:rPr>
              <w:t>序号</w:t>
            </w:r>
          </w:p>
        </w:tc>
        <w:tc>
          <w:tcPr>
            <w:tcW w:w="2126" w:type="dxa"/>
            <w:tcBorders>
              <w:top w:val="single" w:color="auto" w:sz="8" w:space="0"/>
              <w:left w:val="nil"/>
              <w:bottom w:val="single" w:color="auto" w:sz="8" w:space="0"/>
              <w:right w:val="single" w:color="auto" w:sz="8" w:space="0"/>
            </w:tcBorders>
            <w:shd w:val="clear" w:color="000000" w:fill="002060"/>
            <w:vAlign w:val="center"/>
          </w:tcPr>
          <w:p>
            <w:pPr>
              <w:widowControl/>
              <w:jc w:val="center"/>
              <w:rPr>
                <w:rFonts w:hint="eastAsia" w:ascii="黑体" w:hAnsi="黑体" w:eastAsia="黑体" w:cs="宋体"/>
                <w:color w:val="auto"/>
                <w:kern w:val="0"/>
                <w:sz w:val="18"/>
                <w:szCs w:val="18"/>
                <w:shd w:val="clear" w:color="auto" w:fill="auto"/>
              </w:rPr>
            </w:pPr>
            <w:r>
              <w:rPr>
                <w:rFonts w:hint="eastAsia" w:ascii="黑体" w:hAnsi="黑体" w:eastAsia="黑体" w:cs="宋体"/>
                <w:color w:val="auto"/>
                <w:kern w:val="0"/>
                <w:sz w:val="18"/>
                <w:szCs w:val="18"/>
                <w:shd w:val="clear" w:color="auto" w:fill="auto"/>
              </w:rPr>
              <w:t>物料名称</w:t>
            </w:r>
            <w:r>
              <w:rPr>
                <w:rFonts w:ascii="Arial" w:hAnsi="Arial" w:eastAsia="黑体" w:cs="Arial"/>
                <w:color w:val="auto"/>
                <w:kern w:val="0"/>
                <w:sz w:val="18"/>
                <w:szCs w:val="18"/>
                <w:shd w:val="clear" w:color="auto" w:fill="auto"/>
              </w:rPr>
              <w:t>/</w:t>
            </w:r>
            <w:r>
              <w:rPr>
                <w:rFonts w:hint="eastAsia" w:ascii="黑体" w:hAnsi="黑体" w:eastAsia="黑体" w:cs="宋体"/>
                <w:color w:val="auto"/>
                <w:kern w:val="0"/>
                <w:sz w:val="18"/>
                <w:szCs w:val="18"/>
                <w:shd w:val="clear" w:color="auto" w:fill="auto"/>
              </w:rPr>
              <w:t>人工</w:t>
            </w:r>
          </w:p>
        </w:tc>
        <w:tc>
          <w:tcPr>
            <w:tcW w:w="1134" w:type="dxa"/>
            <w:tcBorders>
              <w:top w:val="single" w:color="auto" w:sz="8" w:space="0"/>
              <w:left w:val="nil"/>
              <w:bottom w:val="single" w:color="auto" w:sz="8" w:space="0"/>
              <w:right w:val="single" w:color="auto" w:sz="8" w:space="0"/>
            </w:tcBorders>
            <w:shd w:val="clear" w:color="000000" w:fill="002060"/>
            <w:vAlign w:val="center"/>
          </w:tcPr>
          <w:p>
            <w:pPr>
              <w:widowControl/>
              <w:jc w:val="center"/>
              <w:rPr>
                <w:rFonts w:hint="eastAsia" w:ascii="黑体" w:hAnsi="黑体" w:eastAsia="黑体" w:cs="宋体"/>
                <w:color w:val="auto"/>
                <w:kern w:val="0"/>
                <w:sz w:val="18"/>
                <w:szCs w:val="18"/>
                <w:shd w:val="clear" w:color="auto" w:fill="auto"/>
              </w:rPr>
            </w:pPr>
            <w:r>
              <w:rPr>
                <w:rFonts w:hint="eastAsia" w:ascii="黑体" w:hAnsi="黑体" w:eastAsia="黑体" w:cs="宋体"/>
                <w:color w:val="auto"/>
                <w:kern w:val="0"/>
                <w:sz w:val="18"/>
                <w:szCs w:val="18"/>
                <w:shd w:val="clear" w:color="auto" w:fill="auto"/>
              </w:rPr>
              <w:t>单价（元）</w:t>
            </w:r>
          </w:p>
        </w:tc>
        <w:tc>
          <w:tcPr>
            <w:tcW w:w="851" w:type="dxa"/>
            <w:tcBorders>
              <w:top w:val="single" w:color="auto" w:sz="8" w:space="0"/>
              <w:left w:val="nil"/>
              <w:bottom w:val="single" w:color="auto" w:sz="8" w:space="0"/>
              <w:right w:val="single" w:color="auto" w:sz="8" w:space="0"/>
            </w:tcBorders>
            <w:shd w:val="clear" w:color="000000" w:fill="002060"/>
            <w:vAlign w:val="center"/>
          </w:tcPr>
          <w:p>
            <w:pPr>
              <w:widowControl/>
              <w:jc w:val="center"/>
              <w:rPr>
                <w:rFonts w:hint="eastAsia" w:ascii="黑体" w:hAnsi="黑体" w:eastAsia="黑体" w:cs="宋体"/>
                <w:color w:val="auto"/>
                <w:kern w:val="0"/>
                <w:sz w:val="18"/>
                <w:szCs w:val="18"/>
                <w:shd w:val="clear" w:color="auto" w:fill="auto"/>
              </w:rPr>
            </w:pPr>
            <w:r>
              <w:rPr>
                <w:rFonts w:hint="eastAsia" w:ascii="黑体" w:hAnsi="黑体" w:eastAsia="黑体" w:cs="宋体"/>
                <w:color w:val="auto"/>
                <w:kern w:val="0"/>
                <w:sz w:val="18"/>
                <w:szCs w:val="18"/>
                <w:shd w:val="clear" w:color="auto" w:fill="auto"/>
              </w:rPr>
              <w:t>数量</w:t>
            </w:r>
          </w:p>
        </w:tc>
        <w:tc>
          <w:tcPr>
            <w:tcW w:w="850" w:type="dxa"/>
            <w:tcBorders>
              <w:top w:val="single" w:color="auto" w:sz="8" w:space="0"/>
              <w:left w:val="nil"/>
              <w:bottom w:val="single" w:color="auto" w:sz="8" w:space="0"/>
              <w:right w:val="single" w:color="auto" w:sz="8" w:space="0"/>
            </w:tcBorders>
            <w:shd w:val="clear" w:color="000000" w:fill="002060"/>
            <w:vAlign w:val="center"/>
          </w:tcPr>
          <w:p>
            <w:pPr>
              <w:widowControl/>
              <w:jc w:val="center"/>
              <w:rPr>
                <w:rFonts w:hint="eastAsia" w:ascii="黑体" w:hAnsi="黑体" w:eastAsia="黑体" w:cs="宋体"/>
                <w:color w:val="auto"/>
                <w:kern w:val="0"/>
                <w:sz w:val="18"/>
                <w:szCs w:val="18"/>
                <w:shd w:val="clear" w:color="auto" w:fill="auto"/>
              </w:rPr>
            </w:pPr>
            <w:r>
              <w:rPr>
                <w:rFonts w:hint="eastAsia" w:ascii="黑体" w:hAnsi="黑体" w:eastAsia="黑体" w:cs="宋体"/>
                <w:color w:val="auto"/>
                <w:kern w:val="0"/>
                <w:sz w:val="18"/>
                <w:szCs w:val="18"/>
                <w:shd w:val="clear" w:color="auto" w:fill="auto"/>
              </w:rPr>
              <w:t>单位</w:t>
            </w:r>
          </w:p>
        </w:tc>
        <w:tc>
          <w:tcPr>
            <w:tcW w:w="1276" w:type="dxa"/>
            <w:tcBorders>
              <w:top w:val="single" w:color="auto" w:sz="8" w:space="0"/>
              <w:left w:val="nil"/>
              <w:bottom w:val="single" w:color="auto" w:sz="8" w:space="0"/>
              <w:right w:val="single" w:color="auto" w:sz="8" w:space="0"/>
            </w:tcBorders>
            <w:shd w:val="clear" w:color="000000" w:fill="002060"/>
            <w:vAlign w:val="center"/>
          </w:tcPr>
          <w:p>
            <w:pPr>
              <w:widowControl/>
              <w:jc w:val="center"/>
              <w:rPr>
                <w:rFonts w:hint="eastAsia" w:ascii="黑体" w:hAnsi="黑体" w:eastAsia="黑体" w:cs="宋体"/>
                <w:color w:val="auto"/>
                <w:kern w:val="0"/>
                <w:sz w:val="18"/>
                <w:szCs w:val="18"/>
                <w:shd w:val="clear" w:color="auto" w:fill="auto"/>
              </w:rPr>
            </w:pPr>
            <w:r>
              <w:rPr>
                <w:rFonts w:hint="eastAsia" w:ascii="黑体" w:hAnsi="黑体" w:eastAsia="黑体" w:cs="宋体"/>
                <w:color w:val="auto"/>
                <w:kern w:val="0"/>
                <w:sz w:val="18"/>
                <w:szCs w:val="18"/>
                <w:shd w:val="clear" w:color="auto" w:fill="auto"/>
              </w:rPr>
              <w:t>总价（元）</w:t>
            </w:r>
          </w:p>
        </w:tc>
        <w:tc>
          <w:tcPr>
            <w:tcW w:w="1701" w:type="dxa"/>
            <w:tcBorders>
              <w:top w:val="single" w:color="auto" w:sz="8" w:space="0"/>
              <w:left w:val="nil"/>
              <w:bottom w:val="single" w:color="auto" w:sz="8" w:space="0"/>
              <w:right w:val="single" w:color="auto" w:sz="8" w:space="0"/>
            </w:tcBorders>
            <w:shd w:val="clear" w:color="000000" w:fill="002060"/>
            <w:vAlign w:val="center"/>
          </w:tcPr>
          <w:p>
            <w:pPr>
              <w:widowControl/>
              <w:jc w:val="center"/>
              <w:rPr>
                <w:rFonts w:hint="eastAsia" w:ascii="黑体" w:hAnsi="黑体" w:eastAsia="黑体" w:cs="宋体"/>
                <w:color w:val="auto"/>
                <w:kern w:val="0"/>
                <w:sz w:val="18"/>
                <w:szCs w:val="18"/>
                <w:shd w:val="clear" w:color="auto" w:fill="auto"/>
              </w:rPr>
            </w:pPr>
            <w:r>
              <w:rPr>
                <w:rFonts w:hint="eastAsia" w:ascii="黑体" w:hAnsi="黑体" w:eastAsia="黑体" w:cs="宋体"/>
                <w:color w:val="auto"/>
                <w:kern w:val="0"/>
                <w:sz w:val="18"/>
                <w:szCs w:val="18"/>
                <w:shd w:val="clear" w:color="auto" w:fill="auto"/>
              </w:rPr>
              <w:t>备注</w:t>
            </w:r>
          </w:p>
        </w:tc>
      </w:tr>
      <w:tr>
        <w:tblPrEx>
          <w:tblCellMar>
            <w:top w:w="0" w:type="dxa"/>
            <w:left w:w="108" w:type="dxa"/>
            <w:bottom w:w="0" w:type="dxa"/>
            <w:right w:w="108" w:type="dxa"/>
          </w:tblCellMar>
        </w:tblPrEx>
        <w:trPr>
          <w:trHeight w:val="531" w:hRule="atLeast"/>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1</w:t>
            </w:r>
          </w:p>
        </w:tc>
        <w:tc>
          <w:tcPr>
            <w:tcW w:w="2126"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sz w:val="18"/>
                <w:szCs w:val="18"/>
              </w:rPr>
              <w:t>C</w:t>
            </w:r>
            <w:r>
              <w:rPr>
                <w:rFonts w:ascii="黑体" w:hAnsi="黑体" w:eastAsia="黑体" w:cs="宋体"/>
                <w:color w:val="000000"/>
                <w:sz w:val="18"/>
                <w:szCs w:val="18"/>
              </w:rPr>
              <w:t>1</w:t>
            </w:r>
            <w:r>
              <w:rPr>
                <w:rFonts w:hint="eastAsia" w:ascii="黑体" w:hAnsi="黑体" w:eastAsia="黑体" w:cs="宋体"/>
                <w:color w:val="000000"/>
                <w:sz w:val="18"/>
                <w:szCs w:val="18"/>
              </w:rPr>
              <w:t>、C</w:t>
            </w:r>
            <w:r>
              <w:rPr>
                <w:rFonts w:ascii="黑体" w:hAnsi="黑体" w:eastAsia="黑体" w:cs="宋体"/>
                <w:color w:val="000000"/>
                <w:sz w:val="18"/>
                <w:szCs w:val="18"/>
              </w:rPr>
              <w:t>2</w:t>
            </w:r>
            <w:r>
              <w:rPr>
                <w:rFonts w:hint="eastAsia" w:ascii="黑体" w:hAnsi="黑体" w:eastAsia="黑体" w:cs="宋体"/>
                <w:color w:val="000000"/>
                <w:sz w:val="18"/>
                <w:szCs w:val="18"/>
              </w:rPr>
              <w:t>并联主板</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85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18"/>
                <w:szCs w:val="18"/>
              </w:rPr>
            </w:pPr>
            <w:r>
              <w:rPr>
                <w:rFonts w:hint="eastAsia"/>
                <w:color w:val="000000"/>
                <w:kern w:val="0"/>
                <w:sz w:val="18"/>
                <w:szCs w:val="18"/>
              </w:rPr>
              <w:t>2</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块</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C</w:t>
            </w:r>
            <w:r>
              <w:rPr>
                <w:rFonts w:ascii="黑体" w:hAnsi="黑体" w:eastAsia="黑体" w:cs="宋体"/>
                <w:color w:val="000000"/>
                <w:kern w:val="0"/>
                <w:sz w:val="18"/>
                <w:szCs w:val="18"/>
              </w:rPr>
              <w:t>3</w:t>
            </w:r>
            <w:r>
              <w:rPr>
                <w:rFonts w:hint="eastAsia" w:ascii="黑体" w:hAnsi="黑体" w:eastAsia="黑体" w:cs="宋体"/>
                <w:color w:val="000000"/>
                <w:kern w:val="0"/>
                <w:sz w:val="18"/>
                <w:szCs w:val="18"/>
              </w:rPr>
              <w:t>无负一层</w:t>
            </w:r>
          </w:p>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单控不变</w:t>
            </w:r>
          </w:p>
        </w:tc>
      </w:tr>
      <w:tr>
        <w:tblPrEx>
          <w:tblCellMar>
            <w:top w:w="0" w:type="dxa"/>
            <w:left w:w="108" w:type="dxa"/>
            <w:bottom w:w="0" w:type="dxa"/>
            <w:right w:w="108" w:type="dxa"/>
          </w:tblCellMar>
        </w:tblPrEx>
        <w:trPr>
          <w:trHeight w:val="531" w:hRule="atLeast"/>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2</w:t>
            </w:r>
          </w:p>
        </w:tc>
        <w:tc>
          <w:tcPr>
            <w:tcW w:w="2126"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sz w:val="18"/>
                <w:szCs w:val="18"/>
              </w:rPr>
              <w:t>C</w:t>
            </w:r>
            <w:r>
              <w:rPr>
                <w:rFonts w:ascii="黑体" w:hAnsi="黑体" w:eastAsia="黑体" w:cs="宋体"/>
                <w:color w:val="000000"/>
                <w:sz w:val="18"/>
                <w:szCs w:val="18"/>
              </w:rPr>
              <w:t>4</w:t>
            </w:r>
            <w:r>
              <w:rPr>
                <w:rFonts w:hint="eastAsia" w:ascii="黑体" w:hAnsi="黑体" w:eastAsia="黑体" w:cs="宋体"/>
                <w:color w:val="000000"/>
                <w:sz w:val="18"/>
                <w:szCs w:val="18"/>
              </w:rPr>
              <w:t>、C</w:t>
            </w:r>
            <w:r>
              <w:rPr>
                <w:rFonts w:ascii="黑体" w:hAnsi="黑体" w:eastAsia="黑体" w:cs="宋体"/>
                <w:color w:val="000000"/>
                <w:sz w:val="18"/>
                <w:szCs w:val="18"/>
              </w:rPr>
              <w:t>5</w:t>
            </w:r>
            <w:r>
              <w:rPr>
                <w:rFonts w:hint="eastAsia" w:ascii="黑体" w:hAnsi="黑体" w:eastAsia="黑体" w:cs="宋体"/>
                <w:color w:val="000000"/>
                <w:sz w:val="18"/>
                <w:szCs w:val="18"/>
              </w:rPr>
              <w:t>、C</w:t>
            </w:r>
            <w:r>
              <w:rPr>
                <w:rFonts w:ascii="黑体" w:hAnsi="黑体" w:eastAsia="黑体" w:cs="宋体"/>
                <w:color w:val="000000"/>
                <w:sz w:val="18"/>
                <w:szCs w:val="18"/>
              </w:rPr>
              <w:t>6</w:t>
            </w:r>
            <w:r>
              <w:rPr>
                <w:rFonts w:hint="eastAsia" w:ascii="黑体" w:hAnsi="黑体" w:eastAsia="黑体" w:cs="宋体"/>
                <w:color w:val="000000"/>
                <w:sz w:val="18"/>
                <w:szCs w:val="18"/>
              </w:rPr>
              <w:t>群控主板</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85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18"/>
                <w:szCs w:val="18"/>
              </w:rPr>
            </w:pPr>
            <w:r>
              <w:rPr>
                <w:color w:val="000000"/>
                <w:kern w:val="0"/>
                <w:sz w:val="18"/>
                <w:szCs w:val="18"/>
              </w:rPr>
              <w:t>3</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块</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531" w:hRule="atLeast"/>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3</w:t>
            </w:r>
          </w:p>
        </w:tc>
        <w:tc>
          <w:tcPr>
            <w:tcW w:w="2126"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ascii="黑体" w:hAnsi="黑体" w:eastAsia="黑体" w:cs="宋体"/>
                <w:color w:val="000000"/>
                <w:sz w:val="18"/>
                <w:szCs w:val="18"/>
              </w:rPr>
              <w:t>D1</w:t>
            </w:r>
            <w:r>
              <w:rPr>
                <w:rFonts w:hint="eastAsia" w:ascii="黑体" w:hAnsi="黑体" w:eastAsia="黑体" w:cs="宋体"/>
                <w:color w:val="000000"/>
                <w:sz w:val="18"/>
                <w:szCs w:val="18"/>
              </w:rPr>
              <w:t>、</w:t>
            </w:r>
            <w:r>
              <w:rPr>
                <w:rFonts w:ascii="黑体" w:hAnsi="黑体" w:eastAsia="黑体" w:cs="宋体"/>
                <w:color w:val="000000"/>
                <w:sz w:val="18"/>
                <w:szCs w:val="18"/>
              </w:rPr>
              <w:t>D2</w:t>
            </w:r>
            <w:r>
              <w:rPr>
                <w:rFonts w:hint="eastAsia" w:ascii="黑体" w:hAnsi="黑体" w:eastAsia="黑体" w:cs="宋体"/>
                <w:color w:val="000000"/>
                <w:sz w:val="18"/>
                <w:szCs w:val="18"/>
              </w:rPr>
              <w:t>、</w:t>
            </w:r>
            <w:r>
              <w:rPr>
                <w:rFonts w:ascii="黑体" w:hAnsi="黑体" w:eastAsia="黑体" w:cs="宋体"/>
                <w:color w:val="000000"/>
                <w:sz w:val="18"/>
                <w:szCs w:val="18"/>
              </w:rPr>
              <w:t>D3</w:t>
            </w:r>
            <w:r>
              <w:rPr>
                <w:rFonts w:hint="eastAsia" w:ascii="黑体" w:hAnsi="黑体" w:eastAsia="黑体" w:cs="宋体"/>
                <w:color w:val="000000"/>
                <w:sz w:val="18"/>
                <w:szCs w:val="18"/>
              </w:rPr>
              <w:t>群控主板</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85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18"/>
                <w:szCs w:val="18"/>
              </w:rPr>
            </w:pPr>
            <w:r>
              <w:rPr>
                <w:color w:val="000000"/>
                <w:kern w:val="0"/>
                <w:sz w:val="18"/>
                <w:szCs w:val="18"/>
              </w:rPr>
              <w:t>3</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块</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531" w:hRule="atLeast"/>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4</w:t>
            </w:r>
          </w:p>
        </w:tc>
        <w:tc>
          <w:tcPr>
            <w:tcW w:w="2126"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ascii="黑体" w:hAnsi="黑体" w:eastAsia="黑体" w:cs="宋体"/>
                <w:color w:val="000000"/>
                <w:sz w:val="18"/>
                <w:szCs w:val="18"/>
              </w:rPr>
              <w:t>D4</w:t>
            </w:r>
            <w:r>
              <w:rPr>
                <w:rFonts w:hint="eastAsia" w:ascii="黑体" w:hAnsi="黑体" w:eastAsia="黑体" w:cs="宋体"/>
                <w:color w:val="000000"/>
                <w:sz w:val="18"/>
                <w:szCs w:val="18"/>
              </w:rPr>
              <w:t>、</w:t>
            </w:r>
            <w:r>
              <w:rPr>
                <w:rFonts w:ascii="黑体" w:hAnsi="黑体" w:eastAsia="黑体" w:cs="宋体"/>
                <w:color w:val="000000"/>
                <w:sz w:val="18"/>
                <w:szCs w:val="18"/>
              </w:rPr>
              <w:t>D5</w:t>
            </w:r>
            <w:r>
              <w:rPr>
                <w:rFonts w:hint="eastAsia" w:ascii="黑体" w:hAnsi="黑体" w:eastAsia="黑体" w:cs="宋体"/>
                <w:color w:val="000000"/>
                <w:sz w:val="18"/>
                <w:szCs w:val="18"/>
              </w:rPr>
              <w:t>并联主板</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85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18"/>
                <w:szCs w:val="18"/>
              </w:rPr>
            </w:pPr>
            <w:r>
              <w:rPr>
                <w:color w:val="000000"/>
                <w:kern w:val="0"/>
                <w:sz w:val="18"/>
                <w:szCs w:val="18"/>
              </w:rPr>
              <w:t>2</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块</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18"/>
                <w:szCs w:val="18"/>
              </w:rPr>
            </w:pPr>
            <w:r>
              <w:rPr>
                <w:rFonts w:ascii="黑体" w:hAnsi="黑体" w:eastAsia="黑体" w:cs="宋体"/>
                <w:color w:val="000000"/>
                <w:kern w:val="0"/>
                <w:sz w:val="18"/>
                <w:szCs w:val="18"/>
              </w:rPr>
              <w:t>D6</w:t>
            </w:r>
            <w:r>
              <w:rPr>
                <w:rFonts w:hint="eastAsia" w:ascii="黑体" w:hAnsi="黑体" w:eastAsia="黑体" w:cs="宋体"/>
                <w:color w:val="000000"/>
                <w:kern w:val="0"/>
                <w:sz w:val="18"/>
                <w:szCs w:val="18"/>
              </w:rPr>
              <w:t>无负一层</w:t>
            </w:r>
          </w:p>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单控不变</w:t>
            </w:r>
          </w:p>
        </w:tc>
      </w:tr>
      <w:tr>
        <w:tblPrEx>
          <w:tblCellMar>
            <w:top w:w="0" w:type="dxa"/>
            <w:left w:w="108" w:type="dxa"/>
            <w:bottom w:w="0" w:type="dxa"/>
            <w:right w:w="108" w:type="dxa"/>
          </w:tblCellMar>
        </w:tblPrEx>
        <w:trPr>
          <w:trHeight w:val="531" w:hRule="atLeast"/>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ascii="黑体" w:hAnsi="黑体" w:eastAsia="黑体" w:cs="宋体"/>
                <w:color w:val="000000"/>
                <w:kern w:val="0"/>
                <w:sz w:val="18"/>
                <w:szCs w:val="18"/>
              </w:rPr>
              <w:t>5</w:t>
            </w:r>
          </w:p>
        </w:tc>
        <w:tc>
          <w:tcPr>
            <w:tcW w:w="2126"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安装调试费</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r>
              <w:rPr>
                <w:color w:val="000000"/>
                <w:kern w:val="0"/>
                <w:sz w:val="18"/>
                <w:szCs w:val="18"/>
              </w:rPr>
              <w:t>-</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0</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台</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r>
              <w:rPr>
                <w:rFonts w:hint="eastAsia"/>
                <w:color w:val="000000"/>
                <w:kern w:val="0"/>
                <w:sz w:val="18"/>
                <w:szCs w:val="18"/>
              </w:rPr>
              <w:t>-</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531" w:hRule="atLeast"/>
        </w:trPr>
        <w:tc>
          <w:tcPr>
            <w:tcW w:w="8647"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ascii="黑体" w:hAnsi="黑体" w:eastAsia="黑体" w:cs="宋体"/>
                <w:color w:val="000000"/>
                <w:kern w:val="0"/>
                <w:sz w:val="18"/>
                <w:szCs w:val="18"/>
              </w:rPr>
              <w:t xml:space="preserve">   </w:t>
            </w:r>
            <w:r>
              <w:rPr>
                <w:rFonts w:hint="eastAsia" w:ascii="黑体" w:hAnsi="黑体" w:eastAsia="黑体" w:cs="宋体"/>
                <w:color w:val="000000"/>
                <w:kern w:val="0"/>
                <w:sz w:val="18"/>
                <w:szCs w:val="18"/>
                <w:lang w:eastAsia="zh-CN"/>
              </w:rPr>
              <w:t>包干价</w:t>
            </w:r>
            <w:r>
              <w:rPr>
                <w:rFonts w:hint="eastAsia" w:ascii="黑体" w:hAnsi="黑体" w:eastAsia="黑体" w:cs="宋体"/>
                <w:color w:val="000000"/>
                <w:kern w:val="0"/>
                <w:sz w:val="18"/>
                <w:szCs w:val="18"/>
              </w:rPr>
              <w:t>总金额（含税）</w:t>
            </w:r>
            <w:r>
              <w:rPr>
                <w:rFonts w:hint="eastAsia" w:ascii="黑体" w:hAnsi="黑体" w:eastAsia="黑体" w:cs="宋体"/>
                <w:color w:val="000000"/>
                <w:kern w:val="0"/>
                <w:sz w:val="18"/>
                <w:szCs w:val="18"/>
                <w:lang w:eastAsia="zh-CN"/>
              </w:rPr>
              <w:t>：</w:t>
            </w:r>
            <w:r>
              <w:rPr>
                <w:rFonts w:hint="eastAsia" w:ascii="黑体" w:hAnsi="黑体" w:eastAsia="黑体" w:cs="宋体"/>
                <w:color w:val="000000"/>
                <w:kern w:val="0"/>
                <w:sz w:val="18"/>
                <w:szCs w:val="18"/>
              </w:rPr>
              <w:t>大写人民币</w:t>
            </w:r>
            <w:r>
              <w:rPr>
                <w:rFonts w:hint="eastAsia" w:ascii="黑体" w:hAnsi="黑体" w:eastAsia="黑体" w:cs="宋体"/>
                <w:color w:val="000000"/>
                <w:kern w:val="0"/>
                <w:sz w:val="18"/>
                <w:szCs w:val="18"/>
                <w:lang w:val="en-US" w:eastAsia="zh-CN"/>
              </w:rPr>
              <w:t xml:space="preserve">            </w:t>
            </w:r>
            <w:r>
              <w:rPr>
                <w:rFonts w:hint="eastAsia" w:ascii="黑体" w:hAnsi="黑体" w:eastAsia="黑体" w:cs="宋体"/>
                <w:color w:val="000000"/>
                <w:kern w:val="0"/>
                <w:sz w:val="18"/>
                <w:szCs w:val="18"/>
              </w:rPr>
              <w:t>：</w:t>
            </w:r>
            <w:r>
              <w:rPr>
                <w:rFonts w:hint="eastAsia" w:ascii="黑体" w:hAnsi="黑体" w:eastAsia="黑体" w:cs="宋体"/>
                <w:color w:val="000000"/>
                <w:kern w:val="0"/>
                <w:sz w:val="18"/>
                <w:szCs w:val="18"/>
                <w:lang w:eastAsia="zh-CN"/>
              </w:rPr>
              <w:t>￥</w:t>
            </w:r>
            <w:r>
              <w:rPr>
                <w:rFonts w:hint="eastAsia" w:ascii="黑体" w:hAnsi="黑体" w:eastAsia="黑体" w:cs="宋体"/>
                <w:color w:val="000000"/>
                <w:kern w:val="0"/>
                <w:sz w:val="18"/>
                <w:szCs w:val="18"/>
                <w:lang w:val="en-US" w:eastAsia="zh-C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1F40"/>
    <w:rsid w:val="05AF14A4"/>
    <w:rsid w:val="0E3E40F4"/>
    <w:rsid w:val="0E803E0F"/>
    <w:rsid w:val="101055DD"/>
    <w:rsid w:val="14D20C80"/>
    <w:rsid w:val="17A52954"/>
    <w:rsid w:val="1A1E6441"/>
    <w:rsid w:val="1BD53B33"/>
    <w:rsid w:val="1C9C3D9B"/>
    <w:rsid w:val="1FA326D2"/>
    <w:rsid w:val="21334D32"/>
    <w:rsid w:val="298D1076"/>
    <w:rsid w:val="303740BE"/>
    <w:rsid w:val="343B62DE"/>
    <w:rsid w:val="3D8711E1"/>
    <w:rsid w:val="3F6E0806"/>
    <w:rsid w:val="429B6A14"/>
    <w:rsid w:val="43513FAB"/>
    <w:rsid w:val="449D0E2A"/>
    <w:rsid w:val="49BE48F4"/>
    <w:rsid w:val="56AD0962"/>
    <w:rsid w:val="67E424D6"/>
    <w:rsid w:val="6D18444C"/>
    <w:rsid w:val="6DCB013F"/>
    <w:rsid w:val="74526153"/>
    <w:rsid w:val="74BB4C27"/>
    <w:rsid w:val="7D08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1389</Characters>
  <Lines>0</Lines>
  <Paragraphs>0</Paragraphs>
  <TotalTime>12</TotalTime>
  <ScaleCrop>false</ScaleCrop>
  <LinksUpToDate>false</LinksUpToDate>
  <CharactersWithSpaces>1511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cp:lastPrinted>2021-01-19T08:31:00Z</cp:lastPrinted>
  <dcterms:modified xsi:type="dcterms:W3CDTF">2021-06-03T01:34:59Z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D0BAB1B1CA3A4A319B395329E3469A94</vt:lpwstr>
  </property>
</Properties>
</file>